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2B1D" w:rsidRDefault="00B02B1D" w:rsidP="00B02B1D">
      <w:pPr>
        <w:pStyle w:val="a4"/>
        <w:jc w:val="center"/>
        <w:rPr>
          <w:rFonts w:cs="FrankRuehl"/>
          <w:noProof w:val="0"/>
          <w:sz w:val="28"/>
          <w:szCs w:val="28"/>
        </w:rPr>
      </w:pPr>
      <w:r>
        <w:rPr>
          <w:rFonts w:cs="FrankRuehl"/>
          <w:sz w:val="28"/>
          <w:szCs w:val="28"/>
        </w:rPr>
        <w:drawing>
          <wp:inline distT="0" distB="0" distL="0" distR="0">
            <wp:extent cx="371475" cy="466725"/>
            <wp:effectExtent l="0" t="0" r="9525" b="9525"/>
            <wp:docPr id="1" name="תמונה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5001"/>
        <w:gridCol w:w="3639"/>
      </w:tblGrid>
      <w:tr w:rsidR="00B02B1D" w:rsidTr="00B02B1D">
        <w:trPr>
          <w:trHeight w:val="704"/>
          <w:jc w:val="center"/>
        </w:trPr>
        <w:sdt>
          <w:sdtPr>
            <w:rPr>
              <w:rFonts w:ascii="Tahoma" w:hAnsi="Tahoma"/>
              <w:color w:val="000080"/>
              <w:sz w:val="32"/>
              <w:szCs w:val="32"/>
              <w:rtl/>
            </w:rPr>
            <w:alias w:val="1174"/>
            <w:tag w:val="1174"/>
            <w:id w:val="-1585920285"/>
            <w:text w:multiLine="1"/>
          </w:sdtPr>
          <w:sdtEndPr/>
          <w:sdtContent>
            <w:tc>
              <w:tcPr>
                <w:tcW w:w="8721" w:type="dxa"/>
                <w:gridSpan w:val="2"/>
                <w:hideMark/>
              </w:tcPr>
              <w:p w:rsidR="00B02B1D" w:rsidRDefault="00B02B1D">
                <w:pPr>
                  <w:pStyle w:val="a4"/>
                  <w:jc w:val="center"/>
                  <w:rPr>
                    <w:rFonts w:ascii="Tahoma" w:hAnsi="Tahoma"/>
                    <w:color w:val="000080"/>
                    <w:sz w:val="32"/>
                    <w:szCs w:val="32"/>
                    <w:rtl/>
                  </w:rPr>
                </w:pPr>
                <w:r>
                  <w:rPr>
                    <w:rFonts w:ascii="Tahoma" w:hAnsi="Tahoma"/>
                    <w:color w:val="000080"/>
                    <w:sz w:val="32"/>
                    <w:szCs w:val="32"/>
                    <w:rtl/>
                  </w:rPr>
                  <w:t>בית משפט לענייני משפחה בקריית גת</w:t>
                </w:r>
              </w:p>
            </w:tc>
          </w:sdtContent>
        </w:sdt>
      </w:tr>
      <w:tr w:rsidR="00B02B1D" w:rsidTr="00B02B1D">
        <w:trPr>
          <w:trHeight w:val="337"/>
          <w:jc w:val="center"/>
        </w:trPr>
        <w:tc>
          <w:tcPr>
            <w:tcW w:w="5047" w:type="dxa"/>
          </w:tcPr>
          <w:p w:rsidR="00B02B1D" w:rsidRDefault="00B02B1D">
            <w:pPr>
              <w:rPr>
                <w:b/>
                <w:bCs/>
                <w:noProof w:val="0"/>
                <w:sz w:val="26"/>
                <w:szCs w:val="26"/>
                <w:rtl/>
              </w:rPr>
            </w:pPr>
          </w:p>
        </w:tc>
        <w:tc>
          <w:tcPr>
            <w:tcW w:w="3674" w:type="dxa"/>
          </w:tcPr>
          <w:p w:rsidR="00B02B1D" w:rsidRDefault="00B02B1D">
            <w:pPr>
              <w:pStyle w:val="a4"/>
              <w:jc w:val="right"/>
              <w:rPr>
                <w:b/>
                <w:bCs/>
                <w:noProof w:val="0"/>
                <w:sz w:val="26"/>
                <w:szCs w:val="26"/>
                <w:rtl/>
              </w:rPr>
            </w:pPr>
          </w:p>
        </w:tc>
      </w:tr>
      <w:tr w:rsidR="00B02B1D" w:rsidTr="00B02B1D">
        <w:trPr>
          <w:trHeight w:val="337"/>
          <w:jc w:val="center"/>
        </w:trPr>
        <w:tc>
          <w:tcPr>
            <w:tcW w:w="8721" w:type="dxa"/>
            <w:gridSpan w:val="2"/>
          </w:tcPr>
          <w:p w:rsidR="00B02B1D" w:rsidRDefault="00B02B1D" w:rsidP="00B02B1D">
            <w:pPr>
              <w:rPr>
                <w:b/>
                <w:bCs/>
                <w:noProof w:val="0"/>
                <w:sz w:val="26"/>
                <w:szCs w:val="26"/>
                <w:rtl/>
              </w:rPr>
            </w:pPr>
            <w:proofErr w:type="spellStart"/>
            <w:r>
              <w:rPr>
                <w:b/>
                <w:bCs/>
                <w:noProof w:val="0"/>
                <w:sz w:val="26"/>
                <w:szCs w:val="26"/>
                <w:rtl/>
              </w:rPr>
              <w:t>תמ"ש</w:t>
            </w:r>
            <w:proofErr w:type="spellEnd"/>
            <w:r>
              <w:rPr>
                <w:b/>
                <w:bCs/>
                <w:noProof w:val="0"/>
                <w:sz w:val="26"/>
                <w:szCs w:val="26"/>
                <w:rtl/>
              </w:rPr>
              <w:t xml:space="preserve"> </w:t>
            </w:r>
            <w:bookmarkStart w:id="0" w:name="_GoBack"/>
            <w:r>
              <w:rPr>
                <w:b/>
                <w:bCs/>
                <w:noProof w:val="0"/>
                <w:sz w:val="26"/>
                <w:szCs w:val="26"/>
                <w:rtl/>
              </w:rPr>
              <w:t xml:space="preserve">24616-04-22 </w:t>
            </w:r>
            <w:bookmarkEnd w:id="0"/>
            <w:r>
              <w:rPr>
                <w:b/>
                <w:bCs/>
                <w:noProof w:val="0"/>
                <w:sz w:val="26"/>
                <w:szCs w:val="26"/>
                <w:rtl/>
              </w:rPr>
              <w:t>א נ' א</w:t>
            </w:r>
            <w:r>
              <w:rPr>
                <w:rFonts w:hint="cs"/>
                <w:b/>
                <w:bCs/>
                <w:noProof w:val="0"/>
                <w:sz w:val="26"/>
                <w:szCs w:val="26"/>
                <w:rtl/>
              </w:rPr>
              <w:t>.</w:t>
            </w:r>
            <w:r>
              <w:rPr>
                <w:b/>
                <w:bCs/>
                <w:noProof w:val="0"/>
                <w:sz w:val="26"/>
                <w:szCs w:val="26"/>
                <w:rtl/>
              </w:rPr>
              <w:t xml:space="preserve"> ואח'</w:t>
            </w:r>
          </w:p>
          <w:p w:rsidR="00B02B1D" w:rsidRDefault="00B02B1D">
            <w:pPr>
              <w:rPr>
                <w:b/>
                <w:bCs/>
                <w:noProof w:val="0"/>
                <w:sz w:val="2"/>
                <w:szCs w:val="2"/>
                <w:rtl/>
              </w:rPr>
            </w:pPr>
          </w:p>
          <w:p w:rsidR="00B02B1D" w:rsidRDefault="00B02B1D">
            <w:pPr>
              <w:rPr>
                <w:sz w:val="20"/>
                <w:szCs w:val="20"/>
                <w:rtl/>
              </w:rPr>
            </w:pPr>
            <w:r>
              <w:rPr>
                <w:rtl/>
              </w:rPr>
              <w:t xml:space="preserve">                           </w:t>
            </w:r>
            <w:r>
              <w:rPr>
                <w:sz w:val="20"/>
                <w:szCs w:val="20"/>
                <w:rtl/>
              </w:rPr>
              <w:t xml:space="preserve">                                       </w:t>
            </w:r>
          </w:p>
          <w:p w:rsidR="00B02B1D" w:rsidRDefault="00B02B1D">
            <w:pPr>
              <w:rPr>
                <w:sz w:val="20"/>
                <w:szCs w:val="20"/>
                <w:rtl/>
              </w:rPr>
            </w:pPr>
          </w:p>
        </w:tc>
      </w:tr>
    </w:tbl>
    <w:p w:rsidR="00912B11" w:rsidRPr="00B02B1D" w:rsidRDefault="00912B11">
      <w:pPr>
        <w:rPr>
          <w:rtl/>
        </w:rPr>
      </w:pPr>
    </w:p>
    <w:p w:rsidR="00B02B1D" w:rsidRDefault="00B02B1D" w:rsidP="00B02B1D">
      <w:pPr>
        <w:suppressLineNumbers/>
      </w:pPr>
    </w:p>
    <w:tbl>
      <w:tblPr>
        <w:tblStyle w:val="a6"/>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B02B1D" w:rsidTr="00B02B1D">
        <w:trPr>
          <w:jc w:val="center"/>
        </w:trPr>
        <w:tc>
          <w:tcPr>
            <w:tcW w:w="743" w:type="dxa"/>
            <w:hideMark/>
          </w:tcPr>
          <w:p w:rsidR="00B02B1D" w:rsidRDefault="00B02B1D">
            <w:pPr>
              <w:suppressLineNumbers/>
              <w:jc w:val="both"/>
              <w:rPr>
                <w:rFonts w:ascii="Arial" w:hAnsi="Arial"/>
                <w:b/>
                <w:bCs/>
                <w:sz w:val="26"/>
                <w:szCs w:val="26"/>
                <w:rtl/>
              </w:rPr>
            </w:pPr>
            <w:r>
              <w:rPr>
                <w:rFonts w:ascii="Arial" w:hAnsi="Arial"/>
                <w:b/>
                <w:bCs/>
                <w:sz w:val="26"/>
                <w:szCs w:val="26"/>
                <w:rtl/>
              </w:rPr>
              <w:t xml:space="preserve">בפני </w:t>
            </w:r>
          </w:p>
        </w:tc>
        <w:tc>
          <w:tcPr>
            <w:tcW w:w="8077" w:type="dxa"/>
            <w:gridSpan w:val="2"/>
            <w:hideMark/>
          </w:tcPr>
          <w:p w:rsidR="00B02B1D" w:rsidRDefault="00B02B1D">
            <w:pPr>
              <w:suppressLineNumbers/>
              <w:jc w:val="left"/>
              <w:rPr>
                <w:rFonts w:ascii="Arial" w:hAnsi="Arial" w:cs="FrankRuehl"/>
                <w:sz w:val="26"/>
                <w:szCs w:val="26"/>
                <w:highlight w:val="yellow"/>
                <w:rtl/>
              </w:rPr>
            </w:pPr>
            <w:r>
              <w:rPr>
                <w:rFonts w:ascii="Arial" w:hAnsi="Arial"/>
                <w:b/>
                <w:bCs/>
                <w:sz w:val="26"/>
                <w:szCs w:val="26"/>
                <w:rtl/>
              </w:rPr>
              <w:t>כב' השופט הבכיר, מרדכי (מוטי) לוי</w:t>
            </w:r>
          </w:p>
        </w:tc>
      </w:tr>
      <w:tr w:rsidR="00B02B1D" w:rsidTr="00B02B1D">
        <w:trPr>
          <w:jc w:val="center"/>
        </w:trPr>
        <w:tc>
          <w:tcPr>
            <w:tcW w:w="3249" w:type="dxa"/>
            <w:gridSpan w:val="2"/>
          </w:tcPr>
          <w:p w:rsidR="00B02B1D" w:rsidRDefault="00B02B1D">
            <w:pPr>
              <w:suppressLineNumbers/>
              <w:rPr>
                <w:rFonts w:ascii="Arial" w:hAnsi="Arial"/>
                <w:b/>
                <w:bCs/>
                <w:noProof w:val="0"/>
                <w:sz w:val="26"/>
                <w:szCs w:val="26"/>
              </w:rPr>
            </w:pPr>
          </w:p>
          <w:p w:rsidR="00B02B1D" w:rsidRDefault="00B02B1D">
            <w:pPr>
              <w:suppressLineNumbers/>
              <w:jc w:val="left"/>
              <w:rPr>
                <w:rFonts w:ascii="Arial" w:hAnsi="Arial"/>
                <w:b/>
                <w:bCs/>
                <w:noProof w:val="0"/>
                <w:sz w:val="26"/>
                <w:szCs w:val="26"/>
              </w:rPr>
            </w:pPr>
            <w:r>
              <w:rPr>
                <w:rFonts w:ascii="Arial" w:hAnsi="Arial"/>
                <w:b/>
                <w:bCs/>
                <w:noProof w:val="0"/>
                <w:sz w:val="26"/>
                <w:szCs w:val="26"/>
                <w:rtl/>
              </w:rPr>
              <w:t>תובע</w:t>
            </w:r>
          </w:p>
        </w:tc>
        <w:tc>
          <w:tcPr>
            <w:tcW w:w="5571" w:type="dxa"/>
          </w:tcPr>
          <w:p w:rsidR="00B02B1D" w:rsidRDefault="00B02B1D">
            <w:pPr>
              <w:suppressLineNumbers/>
              <w:rPr>
                <w:rFonts w:ascii="Arial" w:hAnsi="Arial"/>
                <w:b/>
                <w:bCs/>
                <w:noProof w:val="0"/>
                <w:sz w:val="26"/>
                <w:szCs w:val="26"/>
                <w:rtl/>
              </w:rPr>
            </w:pPr>
          </w:p>
          <w:p w:rsidR="00B02B1D" w:rsidRDefault="00B02B1D" w:rsidP="00B02B1D">
            <w:pPr>
              <w:suppressLineNumbers/>
              <w:jc w:val="left"/>
              <w:rPr>
                <w:rFonts w:ascii="David" w:hAnsi="David"/>
                <w:noProof w:val="0"/>
                <w:rtl/>
              </w:rPr>
            </w:pPr>
            <w:proofErr w:type="spellStart"/>
            <w:r>
              <w:rPr>
                <w:rFonts w:ascii="David" w:hAnsi="David"/>
                <w:b/>
                <w:bCs/>
                <w:noProof w:val="0"/>
                <w:sz w:val="26"/>
                <w:szCs w:val="26"/>
                <w:rtl/>
              </w:rPr>
              <w:t>מ</w:t>
            </w:r>
            <w:r>
              <w:rPr>
                <w:rFonts w:ascii="David" w:hAnsi="David" w:hint="cs"/>
                <w:b/>
                <w:bCs/>
                <w:noProof w:val="0"/>
                <w:sz w:val="26"/>
                <w:szCs w:val="26"/>
                <w:rtl/>
              </w:rPr>
              <w:t>.</w:t>
            </w:r>
            <w:r>
              <w:rPr>
                <w:rFonts w:ascii="David" w:hAnsi="David"/>
                <w:b/>
                <w:bCs/>
                <w:noProof w:val="0"/>
                <w:sz w:val="26"/>
                <w:szCs w:val="26"/>
                <w:rtl/>
              </w:rPr>
              <w:t>ש</w:t>
            </w:r>
            <w:r>
              <w:rPr>
                <w:rFonts w:ascii="David" w:hAnsi="David" w:hint="cs"/>
                <w:b/>
                <w:bCs/>
                <w:noProof w:val="0"/>
                <w:sz w:val="26"/>
                <w:szCs w:val="26"/>
                <w:rtl/>
              </w:rPr>
              <w:t>.</w:t>
            </w:r>
            <w:r>
              <w:rPr>
                <w:rFonts w:ascii="David" w:hAnsi="David"/>
                <w:b/>
                <w:bCs/>
                <w:noProof w:val="0"/>
                <w:sz w:val="26"/>
                <w:szCs w:val="26"/>
                <w:rtl/>
              </w:rPr>
              <w:t>רל</w:t>
            </w:r>
            <w:r>
              <w:rPr>
                <w:rFonts w:ascii="David" w:hAnsi="David" w:hint="cs"/>
                <w:b/>
                <w:bCs/>
                <w:noProof w:val="0"/>
                <w:sz w:val="26"/>
                <w:szCs w:val="26"/>
                <w:rtl/>
              </w:rPr>
              <w:t>.א</w:t>
            </w:r>
            <w:r>
              <w:rPr>
                <w:rFonts w:ascii="David" w:hAnsi="David"/>
                <w:b/>
                <w:bCs/>
                <w:noProof w:val="0"/>
                <w:sz w:val="26"/>
                <w:szCs w:val="26"/>
                <w:rtl/>
              </w:rPr>
              <w:t>מ</w:t>
            </w:r>
            <w:proofErr w:type="spellEnd"/>
            <w:r>
              <w:rPr>
                <w:rFonts w:ascii="David" w:hAnsi="David" w:hint="cs"/>
                <w:b/>
                <w:bCs/>
                <w:noProof w:val="0"/>
                <w:sz w:val="26"/>
                <w:szCs w:val="26"/>
                <w:rtl/>
              </w:rPr>
              <w:t>.</w:t>
            </w:r>
            <w:r>
              <w:rPr>
                <w:rFonts w:ascii="David" w:hAnsi="David"/>
                <w:b/>
                <w:bCs/>
                <w:noProof w:val="0"/>
                <w:sz w:val="26"/>
                <w:szCs w:val="26"/>
                <w:rtl/>
              </w:rPr>
              <w:t xml:space="preserve"> דרכון</w:t>
            </w:r>
            <w:r>
              <w:rPr>
                <w:rFonts w:ascii="David" w:hAnsi="David" w:hint="cs"/>
                <w:b/>
                <w:bCs/>
                <w:noProof w:val="0"/>
                <w:sz w:val="26"/>
                <w:szCs w:val="26"/>
                <w:rtl/>
              </w:rPr>
              <w:t xml:space="preserve"> </w:t>
            </w:r>
            <w:r>
              <w:rPr>
                <w:rFonts w:ascii="David" w:hAnsi="David" w:hint="cs"/>
                <w:b/>
                <w:bCs/>
                <w:noProof w:val="0"/>
                <w:sz w:val="26"/>
                <w:szCs w:val="26"/>
              </w:rPr>
              <w:t>XXX</w:t>
            </w:r>
          </w:p>
          <w:p w:rsidR="00B02B1D" w:rsidRDefault="00B02B1D" w:rsidP="00B02B1D">
            <w:pPr>
              <w:suppressLineNumbers/>
              <w:jc w:val="left"/>
              <w:rPr>
                <w:rFonts w:ascii="David" w:hAnsi="David"/>
                <w:noProof w:val="0"/>
                <w:rtl/>
              </w:rPr>
            </w:pPr>
            <w:r>
              <w:rPr>
                <w:rFonts w:ascii="David" w:hAnsi="David"/>
                <w:noProof w:val="0"/>
                <w:rtl/>
              </w:rPr>
              <w:t>מיוצג ע"י עו"ד דוד חיים אלול</w:t>
            </w:r>
          </w:p>
        </w:tc>
      </w:tr>
      <w:tr w:rsidR="00B02B1D" w:rsidTr="00B02B1D">
        <w:trPr>
          <w:jc w:val="center"/>
        </w:trPr>
        <w:tc>
          <w:tcPr>
            <w:tcW w:w="8820" w:type="dxa"/>
            <w:gridSpan w:val="3"/>
          </w:tcPr>
          <w:p w:rsidR="00B02B1D" w:rsidRDefault="00B02B1D">
            <w:pPr>
              <w:suppressLineNumbers/>
              <w:rPr>
                <w:rFonts w:ascii="Arial" w:hAnsi="Arial"/>
                <w:b/>
                <w:bCs/>
                <w:noProof w:val="0"/>
                <w:sz w:val="26"/>
                <w:szCs w:val="26"/>
              </w:rPr>
            </w:pPr>
          </w:p>
          <w:p w:rsidR="00B02B1D" w:rsidRDefault="00B02B1D">
            <w:pPr>
              <w:suppressLineNumbers/>
              <w:jc w:val="center"/>
              <w:rPr>
                <w:rFonts w:ascii="Arial" w:hAnsi="Arial"/>
                <w:b/>
                <w:bCs/>
                <w:noProof w:val="0"/>
                <w:sz w:val="26"/>
                <w:szCs w:val="26"/>
                <w:rtl/>
              </w:rPr>
            </w:pPr>
            <w:r>
              <w:rPr>
                <w:rFonts w:ascii="Arial" w:hAnsi="Arial"/>
                <w:b/>
                <w:bCs/>
                <w:noProof w:val="0"/>
                <w:sz w:val="26"/>
                <w:szCs w:val="26"/>
                <w:rtl/>
              </w:rPr>
              <w:t>נגד</w:t>
            </w:r>
          </w:p>
        </w:tc>
      </w:tr>
      <w:tr w:rsidR="00B02B1D" w:rsidTr="00B02B1D">
        <w:trPr>
          <w:jc w:val="center"/>
        </w:trPr>
        <w:tc>
          <w:tcPr>
            <w:tcW w:w="3249" w:type="dxa"/>
            <w:gridSpan w:val="2"/>
          </w:tcPr>
          <w:p w:rsidR="00B02B1D" w:rsidRDefault="00B02B1D">
            <w:pPr>
              <w:suppressLineNumbers/>
              <w:rPr>
                <w:rFonts w:ascii="Arial" w:hAnsi="Arial"/>
                <w:b/>
                <w:bCs/>
                <w:noProof w:val="0"/>
                <w:sz w:val="26"/>
                <w:szCs w:val="26"/>
              </w:rPr>
            </w:pPr>
          </w:p>
          <w:p w:rsidR="00B02B1D" w:rsidRDefault="00B02B1D">
            <w:pPr>
              <w:suppressLineNumbers/>
              <w:jc w:val="left"/>
              <w:rPr>
                <w:rFonts w:ascii="Arial" w:hAnsi="Arial"/>
                <w:b/>
                <w:bCs/>
                <w:noProof w:val="0"/>
                <w:sz w:val="26"/>
                <w:szCs w:val="26"/>
                <w:rtl/>
              </w:rPr>
            </w:pPr>
            <w:r>
              <w:rPr>
                <w:rFonts w:ascii="Arial" w:hAnsi="Arial"/>
                <w:b/>
                <w:bCs/>
                <w:noProof w:val="0"/>
                <w:sz w:val="26"/>
                <w:szCs w:val="26"/>
                <w:rtl/>
              </w:rPr>
              <w:t>נתבעים</w:t>
            </w:r>
          </w:p>
        </w:tc>
        <w:tc>
          <w:tcPr>
            <w:tcW w:w="5571" w:type="dxa"/>
          </w:tcPr>
          <w:p w:rsidR="00B02B1D" w:rsidRDefault="00B02B1D">
            <w:pPr>
              <w:suppressLineNumbers/>
              <w:rPr>
                <w:rFonts w:ascii="Arial" w:hAnsi="Arial"/>
                <w:b/>
                <w:bCs/>
                <w:noProof w:val="0"/>
                <w:sz w:val="26"/>
                <w:szCs w:val="26"/>
              </w:rPr>
            </w:pPr>
          </w:p>
          <w:p w:rsidR="00B02B1D" w:rsidRDefault="00B02B1D" w:rsidP="00B02B1D">
            <w:pPr>
              <w:suppressLineNumbers/>
              <w:jc w:val="left"/>
              <w:rPr>
                <w:b/>
                <w:bCs/>
                <w:noProof w:val="0"/>
                <w:sz w:val="26"/>
                <w:szCs w:val="26"/>
                <w:rtl/>
              </w:rPr>
            </w:pPr>
            <w:r>
              <w:rPr>
                <w:rFonts w:ascii="Arial" w:hAnsi="Arial"/>
                <w:b/>
                <w:bCs/>
                <w:noProof w:val="0"/>
                <w:sz w:val="26"/>
                <w:szCs w:val="26"/>
                <w:rtl/>
              </w:rPr>
              <w:t>1. מ</w:t>
            </w:r>
            <w:r>
              <w:rPr>
                <w:rFonts w:ascii="Arial" w:hAnsi="Arial" w:hint="cs"/>
                <w:b/>
                <w:bCs/>
                <w:noProof w:val="0"/>
                <w:sz w:val="26"/>
                <w:szCs w:val="26"/>
                <w:rtl/>
              </w:rPr>
              <w:t>.</w:t>
            </w:r>
            <w:r>
              <w:rPr>
                <w:rFonts w:ascii="Arial" w:hAnsi="Arial"/>
                <w:b/>
                <w:bCs/>
                <w:noProof w:val="0"/>
                <w:sz w:val="26"/>
                <w:szCs w:val="26"/>
                <w:rtl/>
              </w:rPr>
              <w:t>מ</w:t>
            </w:r>
            <w:r>
              <w:rPr>
                <w:rFonts w:ascii="Arial" w:hAnsi="Arial" w:hint="cs"/>
                <w:b/>
                <w:bCs/>
                <w:noProof w:val="0"/>
                <w:sz w:val="26"/>
                <w:szCs w:val="26"/>
                <w:rtl/>
              </w:rPr>
              <w:t>.</w:t>
            </w:r>
            <w:r>
              <w:rPr>
                <w:rFonts w:ascii="Arial" w:hAnsi="Arial"/>
                <w:b/>
                <w:bCs/>
                <w:noProof w:val="0"/>
                <w:sz w:val="26"/>
                <w:szCs w:val="26"/>
                <w:rtl/>
              </w:rPr>
              <w:t xml:space="preserve"> א</w:t>
            </w:r>
            <w:r>
              <w:rPr>
                <w:rFonts w:ascii="Arial" w:hAnsi="Arial" w:hint="cs"/>
                <w:b/>
                <w:bCs/>
                <w:noProof w:val="0"/>
                <w:sz w:val="26"/>
                <w:szCs w:val="26"/>
                <w:rtl/>
              </w:rPr>
              <w:t>.</w:t>
            </w:r>
          </w:p>
          <w:p w:rsidR="00B02B1D" w:rsidRDefault="00B02B1D" w:rsidP="00B02B1D">
            <w:pPr>
              <w:suppressLineNumbers/>
              <w:jc w:val="left"/>
              <w:rPr>
                <w:rFonts w:ascii="Arial" w:hAnsi="Arial"/>
                <w:b/>
                <w:bCs/>
                <w:noProof w:val="0"/>
                <w:sz w:val="26"/>
                <w:szCs w:val="26"/>
                <w:rtl/>
              </w:rPr>
            </w:pPr>
            <w:r>
              <w:rPr>
                <w:rFonts w:ascii="Arial" w:hAnsi="Arial"/>
                <w:b/>
                <w:bCs/>
                <w:noProof w:val="0"/>
                <w:sz w:val="26"/>
                <w:szCs w:val="26"/>
                <w:rtl/>
              </w:rPr>
              <w:t>2. ס</w:t>
            </w:r>
            <w:r>
              <w:rPr>
                <w:rFonts w:ascii="Arial" w:hAnsi="Arial" w:hint="cs"/>
                <w:b/>
                <w:bCs/>
                <w:noProof w:val="0"/>
                <w:sz w:val="26"/>
                <w:szCs w:val="26"/>
                <w:rtl/>
              </w:rPr>
              <w:t>.</w:t>
            </w:r>
            <w:r>
              <w:rPr>
                <w:rFonts w:ascii="Arial" w:hAnsi="Arial"/>
                <w:b/>
                <w:bCs/>
                <w:noProof w:val="0"/>
                <w:sz w:val="26"/>
                <w:szCs w:val="26"/>
                <w:rtl/>
              </w:rPr>
              <w:t xml:space="preserve"> ש</w:t>
            </w:r>
            <w:r>
              <w:rPr>
                <w:rFonts w:ascii="Arial" w:hAnsi="Arial" w:hint="cs"/>
                <w:b/>
                <w:bCs/>
                <w:noProof w:val="0"/>
                <w:sz w:val="26"/>
                <w:szCs w:val="26"/>
                <w:rtl/>
              </w:rPr>
              <w:t>.</w:t>
            </w:r>
            <w:r>
              <w:rPr>
                <w:rFonts w:ascii="Arial" w:hAnsi="Arial"/>
                <w:b/>
                <w:bCs/>
                <w:noProof w:val="0"/>
                <w:sz w:val="26"/>
                <w:szCs w:val="26"/>
                <w:rtl/>
              </w:rPr>
              <w:t xml:space="preserve"> א</w:t>
            </w:r>
            <w:r>
              <w:rPr>
                <w:rFonts w:ascii="Arial" w:hAnsi="Arial" w:hint="cs"/>
                <w:b/>
                <w:bCs/>
                <w:noProof w:val="0"/>
                <w:sz w:val="26"/>
                <w:szCs w:val="26"/>
                <w:rtl/>
              </w:rPr>
              <w:t>.</w:t>
            </w:r>
            <w:r>
              <w:rPr>
                <w:rFonts w:ascii="Arial" w:hAnsi="Arial"/>
                <w:b/>
                <w:bCs/>
                <w:noProof w:val="0"/>
                <w:sz w:val="26"/>
                <w:szCs w:val="26"/>
                <w:rtl/>
              </w:rPr>
              <w:t xml:space="preserve"> ח</w:t>
            </w:r>
            <w:r>
              <w:rPr>
                <w:rFonts w:ascii="Arial" w:hAnsi="Arial" w:hint="cs"/>
                <w:b/>
                <w:bCs/>
                <w:noProof w:val="0"/>
                <w:sz w:val="26"/>
                <w:szCs w:val="26"/>
                <w:rtl/>
              </w:rPr>
              <w:t>.</w:t>
            </w:r>
          </w:p>
          <w:p w:rsidR="00B02B1D" w:rsidRDefault="00B02B1D">
            <w:pPr>
              <w:suppressLineNumbers/>
              <w:jc w:val="left"/>
              <w:rPr>
                <w:noProof w:val="0"/>
                <w:rtl/>
              </w:rPr>
            </w:pPr>
            <w:r>
              <w:rPr>
                <w:b/>
                <w:bCs/>
                <w:noProof w:val="0"/>
                <w:sz w:val="26"/>
                <w:szCs w:val="26"/>
                <w:rtl/>
              </w:rPr>
              <w:t xml:space="preserve">   </w:t>
            </w:r>
            <w:r>
              <w:rPr>
                <w:noProof w:val="0"/>
                <w:rtl/>
              </w:rPr>
              <w:t>שתיהן מיוצגות ע"י עו"ד שרית פשלי</w:t>
            </w:r>
          </w:p>
          <w:p w:rsidR="00B02B1D" w:rsidRDefault="00B02B1D">
            <w:pPr>
              <w:suppressLineNumbers/>
              <w:rPr>
                <w:noProof w:val="0"/>
                <w:rtl/>
              </w:rPr>
            </w:pPr>
          </w:p>
          <w:p w:rsidR="00B02B1D" w:rsidRDefault="00B02B1D" w:rsidP="00B02B1D">
            <w:pPr>
              <w:suppressLineNumbers/>
              <w:jc w:val="left"/>
              <w:rPr>
                <w:noProof w:val="0"/>
                <w:rtl/>
              </w:rPr>
            </w:pPr>
            <w:r>
              <w:rPr>
                <w:b/>
                <w:bCs/>
                <w:noProof w:val="0"/>
                <w:rtl/>
              </w:rPr>
              <w:t>3</w:t>
            </w:r>
            <w:r>
              <w:rPr>
                <w:noProof w:val="0"/>
                <w:rtl/>
              </w:rPr>
              <w:t xml:space="preserve">. </w:t>
            </w:r>
            <w:r>
              <w:rPr>
                <w:b/>
                <w:bCs/>
                <w:noProof w:val="0"/>
                <w:rtl/>
              </w:rPr>
              <w:t>ב</w:t>
            </w:r>
            <w:r>
              <w:rPr>
                <w:rFonts w:hint="cs"/>
                <w:b/>
                <w:bCs/>
                <w:noProof w:val="0"/>
                <w:rtl/>
              </w:rPr>
              <w:t>.</w:t>
            </w:r>
            <w:r>
              <w:rPr>
                <w:b/>
                <w:bCs/>
                <w:noProof w:val="0"/>
                <w:rtl/>
              </w:rPr>
              <w:t xml:space="preserve"> א</w:t>
            </w:r>
            <w:r>
              <w:rPr>
                <w:rFonts w:hint="cs"/>
                <w:b/>
                <w:bCs/>
                <w:noProof w:val="0"/>
                <w:rtl/>
              </w:rPr>
              <w:t>.</w:t>
            </w:r>
            <w:r>
              <w:rPr>
                <w:b/>
                <w:bCs/>
                <w:noProof w:val="0"/>
                <w:rtl/>
              </w:rPr>
              <w:t xml:space="preserve"> א</w:t>
            </w:r>
            <w:r>
              <w:rPr>
                <w:rFonts w:hint="cs"/>
                <w:b/>
                <w:bCs/>
                <w:noProof w:val="0"/>
                <w:rtl/>
              </w:rPr>
              <w:t>.</w:t>
            </w:r>
            <w:r>
              <w:rPr>
                <w:b/>
                <w:bCs/>
                <w:noProof w:val="0"/>
                <w:rtl/>
              </w:rPr>
              <w:t xml:space="preserve"> – נמחק</w:t>
            </w:r>
          </w:p>
          <w:p w:rsidR="00B02B1D" w:rsidRDefault="00B02B1D">
            <w:pPr>
              <w:suppressLineNumbers/>
              <w:rPr>
                <w:noProof w:val="0"/>
                <w:rtl/>
              </w:rPr>
            </w:pPr>
          </w:p>
          <w:p w:rsidR="00B02B1D" w:rsidRDefault="00B02B1D">
            <w:pPr>
              <w:suppressLineNumbers/>
              <w:jc w:val="left"/>
              <w:rPr>
                <w:rFonts w:ascii="Arial" w:hAnsi="Arial"/>
                <w:b/>
                <w:bCs/>
                <w:noProof w:val="0"/>
                <w:sz w:val="26"/>
                <w:szCs w:val="26"/>
                <w:rtl/>
              </w:rPr>
            </w:pPr>
            <w:r>
              <w:rPr>
                <w:rFonts w:ascii="Arial" w:hAnsi="Arial"/>
                <w:b/>
                <w:bCs/>
                <w:noProof w:val="0"/>
                <w:sz w:val="26"/>
                <w:szCs w:val="26"/>
                <w:rtl/>
              </w:rPr>
              <w:t xml:space="preserve"> 4. היועצת המשפטית לממשלה </w:t>
            </w:r>
          </w:p>
          <w:p w:rsidR="00B02B1D" w:rsidRDefault="00B02B1D">
            <w:pPr>
              <w:suppressLineNumbers/>
              <w:jc w:val="left"/>
              <w:rPr>
                <w:b/>
                <w:bCs/>
                <w:noProof w:val="0"/>
                <w:sz w:val="26"/>
                <w:szCs w:val="26"/>
                <w:rtl/>
              </w:rPr>
            </w:pPr>
            <w:r>
              <w:rPr>
                <w:rFonts w:ascii="Arial" w:hAnsi="Arial"/>
                <w:b/>
                <w:bCs/>
                <w:noProof w:val="0"/>
                <w:sz w:val="26"/>
                <w:szCs w:val="26"/>
                <w:rtl/>
              </w:rPr>
              <w:t xml:space="preserve">     </w:t>
            </w:r>
            <w:r>
              <w:rPr>
                <w:rFonts w:ascii="Arial" w:hAnsi="Arial"/>
                <w:noProof w:val="0"/>
                <w:rtl/>
              </w:rPr>
              <w:t>מיוצגת ע"י פרקליטות מחוז דרום (אזרחי)</w:t>
            </w:r>
          </w:p>
        </w:tc>
      </w:tr>
      <w:tr w:rsidR="00B02B1D" w:rsidTr="00B02B1D">
        <w:trPr>
          <w:jc w:val="center"/>
        </w:trPr>
        <w:tc>
          <w:tcPr>
            <w:tcW w:w="8820" w:type="dxa"/>
            <w:gridSpan w:val="3"/>
          </w:tcPr>
          <w:p w:rsidR="00B02B1D" w:rsidRDefault="00B02B1D">
            <w:pPr>
              <w:suppressLineNumbers/>
              <w:rPr>
                <w:rFonts w:ascii="Arial" w:hAnsi="Arial"/>
                <w:b/>
                <w:bCs/>
                <w:noProof w:val="0"/>
                <w:sz w:val="26"/>
                <w:szCs w:val="26"/>
                <w:rtl/>
              </w:rPr>
            </w:pPr>
          </w:p>
        </w:tc>
      </w:tr>
    </w:tbl>
    <w:p w:rsidR="00B02B1D" w:rsidRDefault="00B02B1D" w:rsidP="00B02B1D">
      <w:pPr>
        <w:suppressLineNumbers/>
        <w:rPr>
          <w:rtl/>
        </w:rPr>
      </w:pPr>
    </w:p>
    <w:tbl>
      <w:tblPr>
        <w:tblStyle w:val="a6"/>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B02B1D" w:rsidTr="00B02B1D">
        <w:trPr>
          <w:jc w:val="center"/>
        </w:trPr>
        <w:tc>
          <w:tcPr>
            <w:tcW w:w="8820" w:type="dxa"/>
          </w:tcPr>
          <w:p w:rsidR="00B02B1D" w:rsidRDefault="00B02B1D">
            <w:pPr>
              <w:bidi w:val="0"/>
              <w:jc w:val="center"/>
              <w:rPr>
                <w:rFonts w:ascii="Arial" w:hAnsi="Arial"/>
                <w:b/>
                <w:bCs/>
                <w:noProof w:val="0"/>
                <w:sz w:val="28"/>
                <w:szCs w:val="28"/>
                <w:u w:val="single"/>
                <w:rtl/>
              </w:rPr>
            </w:pPr>
            <w:r>
              <w:rPr>
                <w:rFonts w:ascii="Arial" w:hAnsi="Arial"/>
                <w:b/>
                <w:bCs/>
                <w:noProof w:val="0"/>
                <w:sz w:val="28"/>
                <w:szCs w:val="28"/>
                <w:u w:val="single"/>
                <w:rtl/>
              </w:rPr>
              <w:t>החלטה</w:t>
            </w:r>
          </w:p>
          <w:p w:rsidR="00B02B1D" w:rsidRDefault="00B02B1D">
            <w:pPr>
              <w:bidi w:val="0"/>
              <w:jc w:val="center"/>
              <w:rPr>
                <w:rFonts w:ascii="Arial" w:hAnsi="Arial"/>
                <w:b/>
                <w:bCs/>
                <w:noProof w:val="0"/>
                <w:sz w:val="28"/>
                <w:szCs w:val="28"/>
                <w:u w:val="single"/>
                <w:rtl/>
              </w:rPr>
            </w:pPr>
          </w:p>
        </w:tc>
      </w:tr>
    </w:tbl>
    <w:p w:rsidR="00B02B1D" w:rsidRDefault="00B02B1D" w:rsidP="00B02B1D">
      <w:pPr>
        <w:spacing w:line="360" w:lineRule="auto"/>
        <w:jc w:val="both"/>
        <w:rPr>
          <w:rFonts w:ascii="Arial" w:hAnsi="Arial"/>
          <w:noProof w:val="0"/>
        </w:rPr>
      </w:pPr>
      <w:bookmarkStart w:id="1" w:name="NGCSBookmark"/>
      <w:bookmarkEnd w:id="1"/>
    </w:p>
    <w:p w:rsidR="00B02B1D" w:rsidRDefault="00B02B1D" w:rsidP="00B02B1D">
      <w:pPr>
        <w:spacing w:line="360" w:lineRule="auto"/>
        <w:ind w:left="651" w:hanging="651"/>
        <w:jc w:val="both"/>
        <w:rPr>
          <w:rFonts w:ascii="David" w:hAnsi="David"/>
          <w:rtl/>
        </w:rPr>
      </w:pPr>
      <w:r>
        <w:rPr>
          <w:rFonts w:ascii="David" w:hAnsi="David"/>
          <w:rtl/>
        </w:rPr>
        <w:t>1.</w:t>
      </w:r>
      <w:r>
        <w:rPr>
          <w:rFonts w:ascii="David" w:hAnsi="David"/>
          <w:rtl/>
        </w:rPr>
        <w:tab/>
        <w:t>לפני תביעה ל"</w:t>
      </w:r>
      <w:r>
        <w:rPr>
          <w:rFonts w:ascii="David" w:hAnsi="David"/>
          <w:u w:val="single"/>
          <w:rtl/>
        </w:rPr>
        <w:t>ביצוע בדיקת רקמות</w:t>
      </w:r>
      <w:r>
        <w:rPr>
          <w:rFonts w:ascii="David" w:hAnsi="David"/>
          <w:rtl/>
        </w:rPr>
        <w:t xml:space="preserve">" (הוגשה על ידי התובע ביום 10/4/24 כתב תביעה מתוקן על דרך הוספת היועצת המשפטית כנתבעת הוגש ביום 13/4/2022; להלן- </w:t>
      </w:r>
      <w:r>
        <w:rPr>
          <w:rFonts w:ascii="Miriam" w:hAnsi="Miriam" w:cs="Miriam"/>
          <w:b/>
          <w:bCs/>
          <w:rtl/>
        </w:rPr>
        <w:t>התביעה</w:t>
      </w:r>
      <w:r>
        <w:rPr>
          <w:rFonts w:ascii="David" w:hAnsi="David"/>
          <w:rtl/>
        </w:rPr>
        <w:t>).  בתובענה ביקש התובע לאפשר לו ביצוע בדיקה גנטית על מנת להוכיח שהוא בנו של מר צ'</w:t>
      </w:r>
      <w:r>
        <w:rPr>
          <w:rFonts w:ascii="David" w:hAnsi="David" w:hint="cs"/>
          <w:rtl/>
        </w:rPr>
        <w:t>.</w:t>
      </w:r>
      <w:r>
        <w:rPr>
          <w:rFonts w:ascii="David" w:hAnsi="David"/>
          <w:rtl/>
        </w:rPr>
        <w:t xml:space="preserve"> א</w:t>
      </w:r>
      <w:r>
        <w:rPr>
          <w:rFonts w:ascii="David" w:hAnsi="David" w:hint="cs"/>
          <w:rtl/>
        </w:rPr>
        <w:t>.</w:t>
      </w:r>
      <w:r>
        <w:rPr>
          <w:rFonts w:ascii="David" w:hAnsi="David"/>
          <w:rtl/>
        </w:rPr>
        <w:t xml:space="preserve"> ז"ל שנשא בחייו ת"ז </w:t>
      </w:r>
      <w:r>
        <w:rPr>
          <w:rFonts w:ascii="David" w:hAnsi="David" w:hint="cs"/>
        </w:rPr>
        <w:t>XXX</w:t>
      </w:r>
      <w:r>
        <w:rPr>
          <w:rFonts w:ascii="David" w:hAnsi="David"/>
          <w:rtl/>
        </w:rPr>
        <w:t xml:space="preserve"> שנפטר ביום </w:t>
      </w:r>
      <w:r>
        <w:rPr>
          <w:rFonts w:ascii="David" w:hAnsi="David" w:hint="cs"/>
          <w:rtl/>
        </w:rPr>
        <w:t>-----</w:t>
      </w:r>
      <w:r>
        <w:rPr>
          <w:rFonts w:ascii="David" w:hAnsi="David"/>
          <w:rtl/>
        </w:rPr>
        <w:t xml:space="preserve"> בעיר אשדוד (להלן- </w:t>
      </w:r>
      <w:r>
        <w:rPr>
          <w:rFonts w:ascii="Miriam" w:hAnsi="Miriam" w:cs="Miriam"/>
          <w:b/>
          <w:bCs/>
          <w:rtl/>
        </w:rPr>
        <w:t>המנוח</w:t>
      </w:r>
      <w:r>
        <w:rPr>
          <w:rFonts w:ascii="David" w:hAnsi="David"/>
          <w:rtl/>
        </w:rPr>
        <w:t>).</w:t>
      </w:r>
    </w:p>
    <w:p w:rsidR="00B02B1D" w:rsidRDefault="00B02B1D" w:rsidP="00B02B1D">
      <w:pPr>
        <w:ind w:left="651" w:hanging="651"/>
        <w:rPr>
          <w:rtl/>
        </w:rPr>
      </w:pPr>
    </w:p>
    <w:p w:rsidR="00B02B1D" w:rsidRDefault="00B02B1D" w:rsidP="00B02B1D">
      <w:pPr>
        <w:spacing w:line="360" w:lineRule="auto"/>
        <w:ind w:left="720" w:hanging="720"/>
        <w:jc w:val="both"/>
        <w:rPr>
          <w:rFonts w:ascii="David" w:hAnsi="David"/>
          <w:rtl/>
        </w:rPr>
      </w:pPr>
      <w:r>
        <w:rPr>
          <w:rFonts w:ascii="David" w:hAnsi="David"/>
          <w:rtl/>
        </w:rPr>
        <w:t>2.</w:t>
      </w:r>
      <w:r>
        <w:rPr>
          <w:rFonts w:ascii="David" w:hAnsi="David"/>
          <w:rtl/>
        </w:rPr>
        <w:tab/>
        <w:t>התובע טען בתביעתו שהוא בנו של המנוח. כך טען שהנתבעות 1 ו-2 (להלן-</w:t>
      </w:r>
      <w:r>
        <w:rPr>
          <w:rFonts w:ascii="David" w:hAnsi="David"/>
          <w:b/>
          <w:bCs/>
          <w:rtl/>
        </w:rPr>
        <w:t>הנתבעות</w:t>
      </w:r>
      <w:r>
        <w:rPr>
          <w:rFonts w:ascii="David" w:hAnsi="David"/>
          <w:rtl/>
        </w:rPr>
        <w:t>) הן אחיותיו למחצה מהאב המנוח. בקובץ מסמכים מאוחר יותר שהגיש התובע ביום 15/2/2023 לתיק טען שאמו היא גב' ל</w:t>
      </w:r>
      <w:r>
        <w:rPr>
          <w:rFonts w:ascii="David" w:hAnsi="David" w:hint="cs"/>
          <w:rtl/>
        </w:rPr>
        <w:t>.</w:t>
      </w:r>
      <w:r>
        <w:rPr>
          <w:rFonts w:ascii="David" w:hAnsi="David"/>
          <w:rtl/>
        </w:rPr>
        <w:t xml:space="preserve"> א</w:t>
      </w:r>
      <w:r>
        <w:rPr>
          <w:rFonts w:ascii="David" w:hAnsi="David" w:hint="cs"/>
          <w:rtl/>
        </w:rPr>
        <w:t>.</w:t>
      </w:r>
      <w:r>
        <w:rPr>
          <w:rFonts w:ascii="David" w:hAnsi="David"/>
          <w:rtl/>
        </w:rPr>
        <w:t>( נספחים ג ו-ט'  ל"</w:t>
      </w:r>
      <w:r>
        <w:rPr>
          <w:rFonts w:ascii="David" w:hAnsi="David"/>
          <w:u w:val="single"/>
          <w:rtl/>
        </w:rPr>
        <w:t>צירוף מסמכים חוזר</w:t>
      </w:r>
      <w:r>
        <w:rPr>
          <w:rFonts w:ascii="David" w:hAnsi="David"/>
          <w:rtl/>
        </w:rPr>
        <w:t xml:space="preserve">" ע"י התובע ביום 15/2/2023).   </w:t>
      </w:r>
    </w:p>
    <w:p w:rsidR="00B02B1D" w:rsidRDefault="00B02B1D" w:rsidP="00B02B1D">
      <w:pPr>
        <w:spacing w:line="360" w:lineRule="auto"/>
        <w:ind w:left="720" w:hanging="720"/>
        <w:jc w:val="both"/>
        <w:rPr>
          <w:rFonts w:ascii="David" w:hAnsi="David"/>
          <w:rtl/>
        </w:rPr>
      </w:pPr>
    </w:p>
    <w:p w:rsidR="00B02B1D" w:rsidRDefault="00B02B1D" w:rsidP="00B02B1D">
      <w:pPr>
        <w:spacing w:line="360" w:lineRule="auto"/>
        <w:ind w:left="714" w:firstLine="6"/>
        <w:jc w:val="both"/>
        <w:rPr>
          <w:rFonts w:ascii="David" w:hAnsi="David"/>
          <w:rtl/>
        </w:rPr>
      </w:pPr>
      <w:r>
        <w:rPr>
          <w:rFonts w:ascii="David" w:hAnsi="David"/>
          <w:rtl/>
        </w:rPr>
        <w:t>הנתבע 3, מר א</w:t>
      </w:r>
      <w:r>
        <w:rPr>
          <w:rFonts w:ascii="David" w:hAnsi="David" w:hint="cs"/>
          <w:rtl/>
        </w:rPr>
        <w:t>.</w:t>
      </w:r>
      <w:r>
        <w:rPr>
          <w:rFonts w:ascii="David" w:hAnsi="David"/>
          <w:rtl/>
        </w:rPr>
        <w:t xml:space="preserve"> א</w:t>
      </w:r>
      <w:r>
        <w:rPr>
          <w:rFonts w:ascii="David" w:hAnsi="David" w:hint="cs"/>
          <w:rtl/>
        </w:rPr>
        <w:t>.</w:t>
      </w:r>
      <w:r>
        <w:rPr>
          <w:rFonts w:ascii="David" w:hAnsi="David"/>
          <w:rtl/>
        </w:rPr>
        <w:t xml:space="preserve"> ב</w:t>
      </w:r>
      <w:r>
        <w:rPr>
          <w:rFonts w:ascii="David" w:hAnsi="David" w:hint="cs"/>
          <w:rtl/>
        </w:rPr>
        <w:t>.</w:t>
      </w:r>
      <w:r>
        <w:rPr>
          <w:rFonts w:ascii="David" w:hAnsi="David"/>
          <w:rtl/>
        </w:rPr>
        <w:t xml:space="preserve">  הוא דודו של התובע, אח המנוח.  נתבע 3 נמחק מהתביעה בהחלטה מיום 15/8/2023. </w:t>
      </w:r>
    </w:p>
    <w:p w:rsidR="00B02B1D" w:rsidRDefault="00B02B1D" w:rsidP="00B02B1D">
      <w:pPr>
        <w:spacing w:line="360" w:lineRule="auto"/>
        <w:ind w:firstLine="720"/>
        <w:jc w:val="both"/>
        <w:rPr>
          <w:rFonts w:ascii="David" w:hAnsi="David"/>
          <w:rtl/>
        </w:rPr>
      </w:pPr>
    </w:p>
    <w:p w:rsidR="00B02B1D" w:rsidRDefault="00B02B1D" w:rsidP="00B02B1D">
      <w:pPr>
        <w:spacing w:line="360" w:lineRule="auto"/>
        <w:ind w:left="714" w:hanging="714"/>
        <w:jc w:val="both"/>
        <w:rPr>
          <w:rFonts w:ascii="David" w:hAnsi="David"/>
          <w:rtl/>
        </w:rPr>
      </w:pPr>
      <w:r>
        <w:rPr>
          <w:rFonts w:ascii="David" w:hAnsi="David"/>
          <w:rtl/>
        </w:rPr>
        <w:lastRenderedPageBreak/>
        <w:t>3.</w:t>
      </w:r>
      <w:r>
        <w:rPr>
          <w:rFonts w:ascii="David" w:hAnsi="David"/>
          <w:rtl/>
        </w:rPr>
        <w:tab/>
        <w:t xml:space="preserve">ביום  3/10/2013  ניתן צו ירושה הקובע שיורשותיו על פי דין של המנוח הן הנתבעות. </w:t>
      </w:r>
    </w:p>
    <w:p w:rsidR="00B02B1D" w:rsidRDefault="00B02B1D" w:rsidP="00B02B1D">
      <w:pPr>
        <w:spacing w:line="360" w:lineRule="auto"/>
        <w:ind w:left="714" w:hanging="714"/>
        <w:jc w:val="both"/>
        <w:rPr>
          <w:rFonts w:ascii="David" w:hAnsi="David"/>
          <w:rtl/>
        </w:rPr>
      </w:pPr>
    </w:p>
    <w:p w:rsidR="00B02B1D" w:rsidRDefault="00B02B1D" w:rsidP="00B02B1D">
      <w:pPr>
        <w:pStyle w:val="Ruller4"/>
        <w:tabs>
          <w:tab w:val="left" w:pos="720"/>
        </w:tabs>
        <w:ind w:left="72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4.</w:t>
      </w:r>
      <w:r>
        <w:rPr>
          <w:rFonts w:ascii="David" w:eastAsiaTheme="minorHAnsi" w:hAnsi="David" w:cs="David"/>
          <w:spacing w:val="0"/>
          <w:kern w:val="0"/>
          <w:sz w:val="24"/>
          <w:szCs w:val="24"/>
          <w:rtl/>
          <w14:ligatures w14:val="none"/>
        </w:rPr>
        <w:tab/>
        <w:t>בכתב התביעה טען התובע שלאחרונה נודע לו שהנתבעות החלו בהליך למימוש עיזבון אביו ואף הוגשה תביעה בעניין זה.</w:t>
      </w:r>
    </w:p>
    <w:p w:rsidR="00B02B1D" w:rsidRDefault="00B02B1D" w:rsidP="00B02B1D">
      <w:pPr>
        <w:pStyle w:val="Ruller4"/>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 xml:space="preserve"> </w:t>
      </w:r>
    </w:p>
    <w:p w:rsidR="00B02B1D" w:rsidRDefault="00B02B1D" w:rsidP="00B02B1D">
      <w:pPr>
        <w:pStyle w:val="Ruller4"/>
        <w:tabs>
          <w:tab w:val="left" w:pos="720"/>
        </w:tabs>
        <w:ind w:left="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בתביעתו הוא מבקש להיות יורש לרכושו של אביו. על מנת להוכיח שהוא אכן בנו של המנוח ביקש להורות על עריכת בדיקה גנטית. משעה שהמנוח נפטר לפני למעלה מעשור ביקש התובע לבצע את הבדיקה באמצעות נתבע 3 שנתן את הסכמתו לכך "...</w:t>
      </w:r>
      <w:r>
        <w:rPr>
          <w:rFonts w:ascii="David" w:eastAsiaTheme="minorHAnsi" w:hAnsi="David" w:cs="David"/>
          <w:b/>
          <w:bCs/>
          <w:spacing w:val="0"/>
          <w:kern w:val="0"/>
          <w:sz w:val="24"/>
          <w:szCs w:val="24"/>
          <w:rtl/>
          <w14:ligatures w14:val="none"/>
        </w:rPr>
        <w:t>לאור ידיעתו האישית כי התובע הוא אכן בן אחיו</w:t>
      </w:r>
      <w:r>
        <w:rPr>
          <w:rFonts w:ascii="David" w:eastAsiaTheme="minorHAnsi" w:hAnsi="David" w:cs="David"/>
          <w:spacing w:val="0"/>
          <w:kern w:val="0"/>
          <w:sz w:val="24"/>
          <w:szCs w:val="24"/>
          <w:rtl/>
          <w14:ligatures w14:val="none"/>
        </w:rPr>
        <w:t xml:space="preserve">". </w:t>
      </w:r>
    </w:p>
    <w:p w:rsidR="00B02B1D" w:rsidRDefault="00B02B1D" w:rsidP="00B02B1D">
      <w:pPr>
        <w:pStyle w:val="Ruller4"/>
        <w:rPr>
          <w:rFonts w:ascii="David" w:eastAsiaTheme="minorHAnsi" w:hAnsi="David" w:cs="David"/>
          <w:spacing w:val="0"/>
          <w:kern w:val="0"/>
          <w:sz w:val="24"/>
          <w:szCs w:val="24"/>
          <w:rtl/>
          <w14:ligatures w14:val="none"/>
        </w:rPr>
      </w:pPr>
    </w:p>
    <w:p w:rsidR="00B02B1D" w:rsidRDefault="00B02B1D" w:rsidP="00B02B1D">
      <w:pPr>
        <w:pStyle w:val="Ruller4"/>
        <w:ind w:left="72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 xml:space="preserve">4. </w:t>
      </w:r>
      <w:r>
        <w:rPr>
          <w:rFonts w:ascii="David" w:eastAsiaTheme="minorHAnsi" w:hAnsi="David" w:cs="David"/>
          <w:spacing w:val="0"/>
          <w:kern w:val="0"/>
          <w:sz w:val="24"/>
          <w:szCs w:val="24"/>
          <w:rtl/>
          <w14:ligatures w14:val="none"/>
        </w:rPr>
        <w:tab/>
        <w:t>ביום 13/10/23 הגישו הנתבעות את כתב הגנתן. הנתבעות טענו שמעולם לא ידעו ואביהן מעולם לא שיתף אותן בקיומו של אח למחצה. הן הביעו פליאה על חלוף הזמן מאז הוצא צו הירושה ועד הגשת התובענה. כך, טענו שבעת השבעה "...</w:t>
      </w:r>
      <w:r>
        <w:rPr>
          <w:rFonts w:ascii="David" w:eastAsiaTheme="minorHAnsi" w:hAnsi="David" w:cs="David"/>
          <w:b/>
          <w:bCs/>
          <w:spacing w:val="0"/>
          <w:kern w:val="0"/>
          <w:sz w:val="24"/>
          <w:szCs w:val="24"/>
          <w:rtl/>
          <w14:ligatures w14:val="none"/>
        </w:rPr>
        <w:t>הסתובבה שמועה, ברם דודיהם אמרו כי הדבר הוא שקר גס</w:t>
      </w:r>
      <w:r>
        <w:rPr>
          <w:rFonts w:ascii="David" w:eastAsiaTheme="minorHAnsi" w:hAnsi="David" w:cs="David"/>
          <w:spacing w:val="0"/>
          <w:kern w:val="0"/>
          <w:sz w:val="24"/>
          <w:szCs w:val="24"/>
          <w:rtl/>
          <w14:ligatures w14:val="none"/>
        </w:rPr>
        <w:t xml:space="preserve">". עוד טענו שהתובע לא צירף כל פרט על משפחתו, או ראיה כלשהי התומכת בטענתו. </w:t>
      </w:r>
    </w:p>
    <w:p w:rsidR="00B02B1D" w:rsidRDefault="00B02B1D" w:rsidP="00B02B1D">
      <w:pPr>
        <w:pStyle w:val="Ruller4"/>
        <w:ind w:left="720" w:hanging="720"/>
        <w:rPr>
          <w:rFonts w:ascii="David" w:eastAsiaTheme="minorHAnsi" w:hAnsi="David" w:cs="David"/>
          <w:spacing w:val="0"/>
          <w:kern w:val="0"/>
          <w:sz w:val="24"/>
          <w:szCs w:val="24"/>
          <w:rtl/>
          <w14:ligatures w14:val="none"/>
        </w:rPr>
      </w:pPr>
    </w:p>
    <w:p w:rsidR="00B02B1D" w:rsidRDefault="00B02B1D" w:rsidP="00B02B1D">
      <w:pPr>
        <w:pStyle w:val="Ruller4"/>
        <w:ind w:left="72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ab/>
        <w:t>הנתבעות העלו סברה שתביעה זו והבקשה לצרף את נתבע 3, דודן ומי "</w:t>
      </w:r>
      <w:r>
        <w:rPr>
          <w:rFonts w:ascii="David" w:eastAsiaTheme="minorHAnsi" w:hAnsi="David" w:cs="David"/>
          <w:b/>
          <w:bCs/>
          <w:spacing w:val="0"/>
          <w:kern w:val="0"/>
          <w:sz w:val="24"/>
          <w:szCs w:val="24"/>
          <w:rtl/>
          <w14:ligatures w14:val="none"/>
        </w:rPr>
        <w:t>שדאג למרר את חייהן</w:t>
      </w:r>
      <w:r>
        <w:rPr>
          <w:rFonts w:ascii="David" w:eastAsiaTheme="minorHAnsi" w:hAnsi="David" w:cs="David"/>
          <w:spacing w:val="0"/>
          <w:kern w:val="0"/>
          <w:sz w:val="24"/>
          <w:szCs w:val="24"/>
          <w:rtl/>
          <w14:ligatures w14:val="none"/>
        </w:rPr>
        <w:t>" בהליך אחר הקשור בירושתה של סבתן (של סבתן א</w:t>
      </w:r>
      <w:r>
        <w:rPr>
          <w:rFonts w:ascii="David" w:eastAsiaTheme="minorHAnsi" w:hAnsi="David" w:cs="David" w:hint="cs"/>
          <w:spacing w:val="0"/>
          <w:kern w:val="0"/>
          <w:sz w:val="24"/>
          <w:szCs w:val="24"/>
          <w:rtl/>
          <w14:ligatures w14:val="none"/>
        </w:rPr>
        <w:t>.</w:t>
      </w:r>
      <w:r>
        <w:rPr>
          <w:rFonts w:ascii="David" w:eastAsiaTheme="minorHAnsi" w:hAnsi="David" w:cs="David"/>
          <w:spacing w:val="0"/>
          <w:kern w:val="0"/>
          <w:sz w:val="24"/>
          <w:szCs w:val="24"/>
          <w:rtl/>
          <w14:ligatures w14:val="none"/>
        </w:rPr>
        <w:t>(ב</w:t>
      </w:r>
      <w:r>
        <w:rPr>
          <w:rFonts w:ascii="David" w:eastAsiaTheme="minorHAnsi" w:hAnsi="David" w:cs="David" w:hint="cs"/>
          <w:spacing w:val="0"/>
          <w:kern w:val="0"/>
          <w:sz w:val="24"/>
          <w:szCs w:val="24"/>
          <w:rtl/>
          <w14:ligatures w14:val="none"/>
        </w:rPr>
        <w:t>.</w:t>
      </w:r>
      <w:r>
        <w:rPr>
          <w:rFonts w:ascii="David" w:eastAsiaTheme="minorHAnsi" w:hAnsi="David" w:cs="David"/>
          <w:spacing w:val="0"/>
          <w:kern w:val="0"/>
          <w:sz w:val="24"/>
          <w:szCs w:val="24"/>
          <w:rtl/>
          <w14:ligatures w14:val="none"/>
        </w:rPr>
        <w:t>) מ</w:t>
      </w:r>
      <w:r>
        <w:rPr>
          <w:rFonts w:ascii="David" w:eastAsiaTheme="minorHAnsi" w:hAnsi="David" w:cs="David" w:hint="cs"/>
          <w:spacing w:val="0"/>
          <w:kern w:val="0"/>
          <w:sz w:val="24"/>
          <w:szCs w:val="24"/>
          <w:rtl/>
          <w14:ligatures w14:val="none"/>
        </w:rPr>
        <w:t>.</w:t>
      </w:r>
      <w:r>
        <w:rPr>
          <w:rFonts w:ascii="David" w:eastAsiaTheme="minorHAnsi" w:hAnsi="David" w:cs="David"/>
          <w:spacing w:val="0"/>
          <w:kern w:val="0"/>
          <w:sz w:val="24"/>
          <w:szCs w:val="24"/>
          <w:rtl/>
          <w14:ligatures w14:val="none"/>
        </w:rPr>
        <w:t xml:space="preserve"> שנפטרה ביום 6.12.2005). וטענו שככל הנראה "...</w:t>
      </w:r>
      <w:r>
        <w:rPr>
          <w:rFonts w:ascii="David" w:eastAsiaTheme="minorHAnsi" w:hAnsi="David" w:cs="David"/>
          <w:b/>
          <w:bCs/>
          <w:spacing w:val="0"/>
          <w:kern w:val="0"/>
          <w:sz w:val="24"/>
          <w:szCs w:val="24"/>
          <w:rtl/>
          <w14:ligatures w14:val="none"/>
        </w:rPr>
        <w:t>אותו הדוד הינו אביו הביולוגי של התובע ורק  מבקש הוא 'להפיל' על אביהן של הנתבעות 1 ו-2 ובכך ל זכות ביתר מירושתה</w:t>
      </w:r>
      <w:r>
        <w:rPr>
          <w:rFonts w:ascii="David" w:eastAsiaTheme="minorHAnsi" w:hAnsi="David" w:cs="David"/>
          <w:spacing w:val="0"/>
          <w:kern w:val="0"/>
          <w:sz w:val="24"/>
          <w:szCs w:val="24"/>
          <w:rtl/>
          <w14:ligatures w14:val="none"/>
        </w:rPr>
        <w:t xml:space="preserve"> ...".</w:t>
      </w:r>
    </w:p>
    <w:p w:rsidR="00B02B1D" w:rsidRDefault="00B02B1D" w:rsidP="00B02B1D">
      <w:pPr>
        <w:pStyle w:val="Ruller4"/>
        <w:ind w:left="720" w:hanging="720"/>
        <w:rPr>
          <w:rFonts w:ascii="David" w:eastAsiaTheme="minorHAnsi" w:hAnsi="David" w:cs="David"/>
          <w:spacing w:val="0"/>
          <w:kern w:val="0"/>
          <w:sz w:val="24"/>
          <w:szCs w:val="24"/>
          <w:rtl/>
          <w14:ligatures w14:val="none"/>
        </w:rPr>
      </w:pPr>
    </w:p>
    <w:p w:rsidR="00B02B1D" w:rsidRDefault="00B02B1D" w:rsidP="00B02B1D">
      <w:pPr>
        <w:pStyle w:val="Ruller4"/>
        <w:ind w:left="72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5.</w:t>
      </w:r>
      <w:r>
        <w:rPr>
          <w:rFonts w:ascii="David" w:eastAsiaTheme="minorHAnsi" w:hAnsi="David" w:cs="David"/>
          <w:spacing w:val="0"/>
          <w:kern w:val="0"/>
          <w:sz w:val="24"/>
          <w:szCs w:val="24"/>
          <w:rtl/>
          <w14:ligatures w14:val="none"/>
        </w:rPr>
        <w:tab/>
        <w:t xml:space="preserve">ב"כ היועמ"ש ביקש הוספת פרטים על מנת שניתן יהיה להתייחס לבקשה בהיבטיה השונים, וכמתבקש על פי הדין.  לא מצאתי לפרט את מלוא ההליכים וההחלטות החוזרות ונשנות המורות לתובע להגיש את המסמכים הנדרשים כפי שראוי היה שיוגשו מלכתחילה עם הגשת כתב התביעה, מה שבהכרח האריך את ההליכים בתיק זה מעבר לנדרש.  </w:t>
      </w:r>
    </w:p>
    <w:p w:rsidR="00B02B1D" w:rsidRDefault="00B02B1D" w:rsidP="00B02B1D">
      <w:pPr>
        <w:pStyle w:val="Ruller4"/>
        <w:ind w:left="720" w:hanging="720"/>
        <w:rPr>
          <w:rFonts w:ascii="David" w:eastAsiaTheme="minorHAnsi" w:hAnsi="David" w:cs="David"/>
          <w:spacing w:val="0"/>
          <w:kern w:val="0"/>
          <w:sz w:val="24"/>
          <w:szCs w:val="24"/>
          <w:rtl/>
          <w14:ligatures w14:val="none"/>
        </w:rPr>
      </w:pPr>
    </w:p>
    <w:p w:rsidR="00B02B1D" w:rsidRDefault="00B02B1D" w:rsidP="00B02B1D">
      <w:pPr>
        <w:spacing w:line="360" w:lineRule="auto"/>
        <w:ind w:left="720" w:hanging="720"/>
        <w:jc w:val="both"/>
        <w:rPr>
          <w:rFonts w:ascii="David" w:eastAsiaTheme="minorHAnsi" w:hAnsi="David"/>
          <w:rtl/>
        </w:rPr>
      </w:pPr>
      <w:r>
        <w:rPr>
          <w:rFonts w:ascii="David" w:hAnsi="David"/>
          <w:rtl/>
        </w:rPr>
        <w:t>6.</w:t>
      </w:r>
      <w:r>
        <w:rPr>
          <w:rFonts w:ascii="David" w:hAnsi="David"/>
          <w:rtl/>
        </w:rPr>
        <w:tab/>
        <w:t>בסופו של יום ולאחר קבלת המסמכים המבוקשים הגיש ב"כ היועמ"ש את כתב הגנתו. לאור בדיקותיו המתבקשות וביחס לבדיקה נכתב בכתב ההגנה:</w:t>
      </w:r>
    </w:p>
    <w:p w:rsidR="00B02B1D" w:rsidRDefault="00B02B1D" w:rsidP="00B02B1D">
      <w:pPr>
        <w:spacing w:line="360" w:lineRule="auto"/>
        <w:ind w:left="720"/>
        <w:jc w:val="both"/>
        <w:rPr>
          <w:rFonts w:ascii="David" w:hAnsi="David"/>
          <w:rtl/>
        </w:rPr>
      </w:pPr>
      <w:r>
        <w:rPr>
          <w:rFonts w:ascii="David" w:hAnsi="David"/>
          <w:rtl/>
        </w:rPr>
        <w:t xml:space="preserve">"... </w:t>
      </w:r>
    </w:p>
    <w:p w:rsidR="00B02B1D" w:rsidRDefault="00B02B1D" w:rsidP="00B02B1D">
      <w:pPr>
        <w:pStyle w:val="Ruller4"/>
        <w:tabs>
          <w:tab w:val="left" w:pos="-3844"/>
        </w:tabs>
        <w:ind w:left="720" w:hanging="720"/>
        <w:rPr>
          <w:rFonts w:ascii="David" w:eastAsiaTheme="minorHAnsi" w:hAnsi="David" w:cs="David"/>
          <w:b/>
          <w:bCs/>
          <w:spacing w:val="0"/>
          <w:kern w:val="0"/>
          <w:sz w:val="24"/>
          <w:szCs w:val="24"/>
          <w:rtl/>
          <w14:ligatures w14:val="none"/>
        </w:rPr>
      </w:pPr>
      <w:r>
        <w:rPr>
          <w:rFonts w:ascii="David" w:hAnsi="David" w:cs="David"/>
          <w:sz w:val="24"/>
          <w:szCs w:val="24"/>
          <w:rtl/>
        </w:rPr>
        <w:tab/>
      </w:r>
      <w:r>
        <w:rPr>
          <w:rFonts w:ascii="David" w:eastAsiaTheme="minorHAnsi" w:hAnsi="David" w:cs="David"/>
          <w:b/>
          <w:bCs/>
          <w:spacing w:val="0"/>
          <w:kern w:val="0"/>
          <w:sz w:val="24"/>
          <w:szCs w:val="24"/>
          <w:rtl/>
          <w14:ligatures w14:val="none"/>
        </w:rPr>
        <w:t xml:space="preserve">31. </w:t>
      </w:r>
      <w:r>
        <w:rPr>
          <w:rFonts w:ascii="David" w:eastAsiaTheme="minorHAnsi" w:hAnsi="David" w:cs="David"/>
          <w:b/>
          <w:bCs/>
          <w:spacing w:val="0"/>
          <w:kern w:val="0"/>
          <w:sz w:val="24"/>
          <w:szCs w:val="24"/>
          <w:rtl/>
          <w14:ligatures w14:val="none"/>
        </w:rPr>
        <w:tab/>
        <w:t xml:space="preserve">לאור האמור לעיל, מאחר שאין חשש לממזרות, ומאחר שיש בקביעת אבהות כדי </w:t>
      </w:r>
    </w:p>
    <w:p w:rsidR="00B02B1D" w:rsidRDefault="00B02B1D" w:rsidP="00B02B1D">
      <w:pPr>
        <w:pStyle w:val="Ruller4"/>
        <w:tabs>
          <w:tab w:val="left" w:pos="-3844"/>
        </w:tabs>
        <w:ind w:left="1440" w:hanging="720"/>
        <w:rPr>
          <w:rFonts w:ascii="David" w:eastAsiaTheme="minorHAnsi" w:hAnsi="David" w:cs="David"/>
          <w:b/>
          <w:bCs/>
          <w:spacing w:val="0"/>
          <w:kern w:val="0"/>
          <w:sz w:val="24"/>
          <w:szCs w:val="24"/>
          <w:rtl/>
          <w14:ligatures w14:val="none"/>
        </w:rPr>
      </w:pPr>
      <w:r>
        <w:rPr>
          <w:rFonts w:ascii="David" w:eastAsiaTheme="minorHAnsi" w:hAnsi="David" w:cs="David"/>
          <w:b/>
          <w:bCs/>
          <w:spacing w:val="0"/>
          <w:kern w:val="0"/>
          <w:sz w:val="24"/>
          <w:szCs w:val="24"/>
          <w:rtl/>
          <w14:ligatures w14:val="none"/>
        </w:rPr>
        <w:tab/>
      </w:r>
      <w:r>
        <w:rPr>
          <w:rFonts w:ascii="David" w:eastAsiaTheme="minorHAnsi" w:hAnsi="David" w:cs="David"/>
          <w:b/>
          <w:bCs/>
          <w:spacing w:val="0"/>
          <w:kern w:val="0"/>
          <w:sz w:val="24"/>
          <w:szCs w:val="24"/>
          <w:rtl/>
          <w14:ligatures w14:val="none"/>
        </w:rPr>
        <w:tab/>
        <w:t>להשליך על מעמדו של התובע בישראל, ב"כ היועמ"ש מבקש כי בית המשפט יורה על ביצוע בדיקה גנטית, באחת משתי הדרכים הבאות:</w:t>
      </w:r>
    </w:p>
    <w:p w:rsidR="00B02B1D" w:rsidRDefault="00B02B1D" w:rsidP="00B02B1D">
      <w:pPr>
        <w:pStyle w:val="Ruller4"/>
        <w:tabs>
          <w:tab w:val="left" w:pos="-2764"/>
        </w:tabs>
        <w:ind w:left="1440" w:hanging="647"/>
        <w:rPr>
          <w:rFonts w:ascii="David" w:eastAsiaTheme="minorHAnsi" w:hAnsi="David" w:cs="David"/>
          <w:b/>
          <w:bCs/>
          <w:spacing w:val="0"/>
          <w:kern w:val="0"/>
          <w:sz w:val="24"/>
          <w:szCs w:val="24"/>
          <w:rtl/>
          <w14:ligatures w14:val="none"/>
        </w:rPr>
      </w:pPr>
      <w:r>
        <w:rPr>
          <w:rFonts w:ascii="David" w:eastAsiaTheme="minorHAnsi" w:hAnsi="David" w:cs="David"/>
          <w:b/>
          <w:bCs/>
          <w:spacing w:val="0"/>
          <w:kern w:val="0"/>
          <w:sz w:val="24"/>
          <w:szCs w:val="24"/>
          <w:rtl/>
          <w14:ligatures w14:val="none"/>
        </w:rPr>
        <w:t>32.</w:t>
      </w:r>
      <w:r>
        <w:rPr>
          <w:rFonts w:ascii="David" w:eastAsiaTheme="minorHAnsi" w:hAnsi="David" w:cs="David"/>
          <w:b/>
          <w:bCs/>
          <w:spacing w:val="0"/>
          <w:kern w:val="0"/>
          <w:sz w:val="24"/>
          <w:szCs w:val="24"/>
          <w:rtl/>
          <w14:ligatures w14:val="none"/>
        </w:rPr>
        <w:tab/>
      </w:r>
      <w:r>
        <w:rPr>
          <w:rFonts w:ascii="David" w:eastAsiaTheme="minorHAnsi" w:hAnsi="David" w:cs="David"/>
          <w:b/>
          <w:bCs/>
          <w:spacing w:val="0"/>
          <w:kern w:val="0"/>
          <w:sz w:val="24"/>
          <w:szCs w:val="24"/>
          <w:u w:val="single"/>
          <w:rtl/>
          <w14:ligatures w14:val="none"/>
        </w:rPr>
        <w:t>ככל שקיימת דגימה של המנוח</w:t>
      </w:r>
      <w:r>
        <w:rPr>
          <w:rFonts w:ascii="David" w:eastAsiaTheme="minorHAnsi" w:hAnsi="David" w:cs="David"/>
          <w:b/>
          <w:bCs/>
          <w:spacing w:val="0"/>
          <w:kern w:val="0"/>
          <w:sz w:val="24"/>
          <w:szCs w:val="24"/>
          <w:rtl/>
          <w14:ligatures w14:val="none"/>
        </w:rPr>
        <w:t>, יבוקש כי הבדיקה תתבצע מול התובע, אם התובע ועם דגימתו של המנוח.</w:t>
      </w:r>
    </w:p>
    <w:p w:rsidR="00B02B1D" w:rsidRDefault="00B02B1D" w:rsidP="00B02B1D">
      <w:pPr>
        <w:pStyle w:val="Ruller4"/>
        <w:tabs>
          <w:tab w:val="left" w:pos="-2751"/>
        </w:tabs>
        <w:ind w:left="720" w:firstLine="73"/>
        <w:rPr>
          <w:rFonts w:ascii="David" w:eastAsiaTheme="minorHAnsi" w:hAnsi="David" w:cs="David"/>
          <w:b/>
          <w:bCs/>
          <w:spacing w:val="0"/>
          <w:kern w:val="0"/>
          <w:sz w:val="24"/>
          <w:szCs w:val="24"/>
          <w14:ligatures w14:val="none"/>
        </w:rPr>
      </w:pPr>
      <w:r>
        <w:rPr>
          <w:rFonts w:ascii="David" w:eastAsiaTheme="minorHAnsi" w:hAnsi="David" w:cs="David"/>
          <w:b/>
          <w:bCs/>
          <w:spacing w:val="0"/>
          <w:kern w:val="0"/>
          <w:sz w:val="24"/>
          <w:szCs w:val="24"/>
          <w:rtl/>
          <w14:ligatures w14:val="none"/>
        </w:rPr>
        <w:t>33.</w:t>
      </w:r>
      <w:r>
        <w:rPr>
          <w:rFonts w:ascii="David" w:eastAsiaTheme="minorHAnsi" w:hAnsi="David" w:cs="David"/>
          <w:b/>
          <w:bCs/>
          <w:spacing w:val="0"/>
          <w:kern w:val="0"/>
          <w:sz w:val="24"/>
          <w:szCs w:val="24"/>
          <w:rtl/>
          <w14:ligatures w14:val="none"/>
        </w:rPr>
        <w:tab/>
      </w:r>
      <w:r>
        <w:rPr>
          <w:rFonts w:ascii="David" w:eastAsiaTheme="minorHAnsi" w:hAnsi="David" w:cs="David"/>
          <w:b/>
          <w:bCs/>
          <w:spacing w:val="0"/>
          <w:kern w:val="0"/>
          <w:sz w:val="24"/>
          <w:szCs w:val="24"/>
          <w:u w:val="single"/>
          <w:rtl/>
          <w14:ligatures w14:val="none"/>
        </w:rPr>
        <w:t xml:space="preserve"> ככל שלא תימצא דגימת המנוח</w:t>
      </w:r>
      <w:r>
        <w:rPr>
          <w:rFonts w:ascii="David" w:eastAsiaTheme="minorHAnsi" w:hAnsi="David" w:cs="David"/>
          <w:b/>
          <w:bCs/>
          <w:spacing w:val="0"/>
          <w:kern w:val="0"/>
          <w:sz w:val="24"/>
          <w:szCs w:val="24"/>
          <w:rtl/>
          <w14:ligatures w14:val="none"/>
        </w:rPr>
        <w:t xml:space="preserve">, בביצוע הבדיקה הגנטית יתבקש כי ייקחו </w:t>
      </w:r>
      <w:r>
        <w:rPr>
          <w:rFonts w:ascii="David" w:eastAsiaTheme="minorHAnsi" w:hAnsi="David" w:cs="David"/>
          <w:b/>
          <w:bCs/>
          <w:spacing w:val="0"/>
          <w:kern w:val="0"/>
          <w:sz w:val="24"/>
          <w:szCs w:val="24"/>
          <w:rtl/>
          <w14:ligatures w14:val="none"/>
        </w:rPr>
        <w:tab/>
      </w:r>
      <w:r>
        <w:rPr>
          <w:rFonts w:ascii="David" w:eastAsiaTheme="minorHAnsi" w:hAnsi="David" w:cs="David"/>
          <w:b/>
          <w:bCs/>
          <w:spacing w:val="0"/>
          <w:kern w:val="0"/>
          <w:sz w:val="24"/>
          <w:szCs w:val="24"/>
          <w:rtl/>
          <w14:ligatures w14:val="none"/>
        </w:rPr>
        <w:tab/>
        <w:t>חלק התובע והנתבעת 1 או הנתבעת 2 וזאת בכפוף להסכמתן.</w:t>
      </w:r>
    </w:p>
    <w:p w:rsidR="00B02B1D" w:rsidRDefault="00B02B1D" w:rsidP="00B02B1D">
      <w:pPr>
        <w:pStyle w:val="Ruller4"/>
        <w:tabs>
          <w:tab w:val="left" w:pos="-2764"/>
        </w:tabs>
        <w:ind w:left="720" w:hanging="69"/>
        <w:rPr>
          <w:rFonts w:ascii="David" w:eastAsiaTheme="minorHAnsi" w:hAnsi="David" w:cs="David"/>
          <w:b/>
          <w:bCs/>
          <w:spacing w:val="0"/>
          <w:kern w:val="0"/>
          <w:sz w:val="24"/>
          <w:szCs w:val="24"/>
          <w:rtl/>
          <w14:ligatures w14:val="none"/>
        </w:rPr>
      </w:pPr>
      <w:r>
        <w:rPr>
          <w:rFonts w:ascii="David" w:eastAsiaTheme="minorHAnsi" w:hAnsi="David" w:cs="David"/>
          <w:b/>
          <w:bCs/>
          <w:spacing w:val="0"/>
          <w:kern w:val="0"/>
          <w:sz w:val="24"/>
          <w:szCs w:val="24"/>
          <w:rtl/>
          <w14:ligatures w14:val="none"/>
        </w:rPr>
        <w:lastRenderedPageBreak/>
        <w:tab/>
        <w:t>34.</w:t>
      </w:r>
      <w:r>
        <w:rPr>
          <w:rFonts w:ascii="David" w:eastAsiaTheme="minorHAnsi" w:hAnsi="David" w:cs="David"/>
          <w:b/>
          <w:bCs/>
          <w:spacing w:val="0"/>
          <w:kern w:val="0"/>
          <w:sz w:val="24"/>
          <w:szCs w:val="24"/>
          <w:rtl/>
          <w14:ligatures w14:val="none"/>
        </w:rPr>
        <w:tab/>
        <w:t xml:space="preserve">הואיל והתובע שוהה ומתגורר בחו"ל, וכך גם אמו של התובע, יבוקש כי </w:t>
      </w:r>
      <w:r>
        <w:rPr>
          <w:rFonts w:ascii="David" w:eastAsiaTheme="minorHAnsi" w:hAnsi="David" w:cs="David"/>
          <w:b/>
          <w:bCs/>
          <w:spacing w:val="0"/>
          <w:kern w:val="0"/>
          <w:sz w:val="24"/>
          <w:szCs w:val="24"/>
          <w:rtl/>
          <w14:ligatures w14:val="none"/>
        </w:rPr>
        <w:tab/>
        <w:t xml:space="preserve">הבדיקה תבוצע על פי סעיף  4(א) לתקנות מידע גנטי (עריכת בדיקה גנטית, קשרי </w:t>
      </w:r>
    </w:p>
    <w:p w:rsidR="00B02B1D" w:rsidRDefault="00B02B1D" w:rsidP="00B02B1D">
      <w:pPr>
        <w:pStyle w:val="Ruller4"/>
        <w:tabs>
          <w:tab w:val="left" w:pos="-2764"/>
        </w:tabs>
        <w:ind w:left="720" w:hanging="69"/>
        <w:rPr>
          <w:rFonts w:ascii="David" w:eastAsiaTheme="minorHAnsi" w:hAnsi="David" w:cs="David"/>
          <w:b/>
          <w:bCs/>
          <w:spacing w:val="0"/>
          <w:kern w:val="0"/>
          <w:sz w:val="24"/>
          <w:szCs w:val="24"/>
          <w:rtl/>
          <w14:ligatures w14:val="none"/>
        </w:rPr>
      </w:pPr>
      <w:r>
        <w:rPr>
          <w:rFonts w:ascii="David" w:eastAsiaTheme="minorHAnsi" w:hAnsi="David" w:cs="David"/>
          <w:b/>
          <w:bCs/>
          <w:spacing w:val="0"/>
          <w:kern w:val="0"/>
          <w:sz w:val="24"/>
          <w:szCs w:val="24"/>
          <w:rtl/>
          <w14:ligatures w14:val="none"/>
        </w:rPr>
        <w:tab/>
      </w:r>
      <w:r>
        <w:rPr>
          <w:rFonts w:ascii="David" w:eastAsiaTheme="minorHAnsi" w:hAnsi="David" w:cs="David"/>
          <w:b/>
          <w:bCs/>
          <w:spacing w:val="0"/>
          <w:kern w:val="0"/>
          <w:sz w:val="24"/>
          <w:szCs w:val="24"/>
          <w:rtl/>
          <w14:ligatures w14:val="none"/>
        </w:rPr>
        <w:tab/>
        <w:t>משפחה תיעוד ושמירת תוצאותיה) תש"ע-2010 (נוהל חו"ל).</w:t>
      </w:r>
    </w:p>
    <w:p w:rsidR="00B02B1D" w:rsidRDefault="00B02B1D" w:rsidP="00B02B1D">
      <w:pPr>
        <w:pStyle w:val="Ruller4"/>
        <w:tabs>
          <w:tab w:val="left" w:pos="-2764"/>
        </w:tabs>
        <w:ind w:left="1440" w:hanging="69"/>
        <w:rPr>
          <w:rFonts w:ascii="David" w:eastAsiaTheme="minorHAnsi" w:hAnsi="David" w:cs="David"/>
          <w:b/>
          <w:bCs/>
          <w:spacing w:val="0"/>
          <w:kern w:val="0"/>
          <w:sz w:val="24"/>
          <w:szCs w:val="24"/>
          <w:rtl/>
          <w14:ligatures w14:val="none"/>
        </w:rPr>
      </w:pPr>
      <w:r>
        <w:rPr>
          <w:rFonts w:ascii="David" w:eastAsiaTheme="minorHAnsi" w:hAnsi="David" w:cs="David"/>
          <w:b/>
          <w:bCs/>
          <w:spacing w:val="0"/>
          <w:kern w:val="0"/>
          <w:sz w:val="24"/>
          <w:szCs w:val="24"/>
          <w:rtl/>
          <w14:ligatures w14:val="none"/>
        </w:rPr>
        <w:t xml:space="preserve"> </w:t>
      </w:r>
    </w:p>
    <w:p w:rsidR="00B02B1D" w:rsidRDefault="00B02B1D" w:rsidP="00B02B1D">
      <w:pPr>
        <w:pStyle w:val="Ruller4"/>
        <w:tabs>
          <w:tab w:val="left" w:pos="-2764"/>
          <w:tab w:val="left" w:pos="-993"/>
        </w:tabs>
        <w:ind w:left="1502" w:hanging="709"/>
        <w:rPr>
          <w:rFonts w:ascii="David" w:eastAsiaTheme="minorHAnsi" w:hAnsi="David" w:cs="David"/>
          <w:b/>
          <w:bCs/>
          <w:spacing w:val="0"/>
          <w:kern w:val="0"/>
          <w:sz w:val="24"/>
          <w:szCs w:val="24"/>
          <w:rtl/>
          <w14:ligatures w14:val="none"/>
        </w:rPr>
      </w:pPr>
      <w:r>
        <w:rPr>
          <w:rFonts w:ascii="David" w:eastAsiaTheme="minorHAnsi" w:hAnsi="David" w:cs="David"/>
          <w:b/>
          <w:bCs/>
          <w:spacing w:val="0"/>
          <w:kern w:val="0"/>
          <w:sz w:val="24"/>
          <w:szCs w:val="24"/>
          <w:rtl/>
          <w14:ligatures w14:val="none"/>
        </w:rPr>
        <w:t>35.</w:t>
      </w:r>
      <w:r>
        <w:rPr>
          <w:rFonts w:ascii="David" w:eastAsiaTheme="minorHAnsi" w:hAnsi="David" w:cs="David"/>
          <w:b/>
          <w:bCs/>
          <w:spacing w:val="0"/>
          <w:kern w:val="0"/>
          <w:sz w:val="24"/>
          <w:szCs w:val="24"/>
          <w:rtl/>
          <w14:ligatures w14:val="none"/>
        </w:rPr>
        <w:tab/>
        <w:t>הנבדקים מתבקשים להגיע לבדיקה עם מסמכים מזהים תקפים, בהתאם להוראות תקנה אחת לתקנות מידע גנטי( עריכת בדיקה גנטית לקשרי משפחה, תיעוד ושמירת תוצאותיה), תש"ע – 2010.</w:t>
      </w:r>
      <w:r>
        <w:rPr>
          <w:rFonts w:ascii="David" w:eastAsiaTheme="minorHAnsi" w:hAnsi="David" w:cs="David"/>
          <w:spacing w:val="0"/>
          <w:kern w:val="0"/>
          <w:sz w:val="24"/>
          <w:szCs w:val="24"/>
          <w:rtl/>
          <w14:ligatures w14:val="none"/>
        </w:rPr>
        <w:t>"</w:t>
      </w:r>
    </w:p>
    <w:p w:rsidR="00B02B1D" w:rsidRDefault="00B02B1D" w:rsidP="00B02B1D">
      <w:pPr>
        <w:pStyle w:val="Ruller4"/>
        <w:tabs>
          <w:tab w:val="left" w:pos="-2764"/>
        </w:tabs>
        <w:ind w:left="1502" w:hanging="851"/>
        <w:rPr>
          <w:rFonts w:ascii="David" w:eastAsiaTheme="minorHAnsi" w:hAnsi="David" w:cs="David"/>
          <w:b/>
          <w:bCs/>
          <w:spacing w:val="0"/>
          <w:kern w:val="0"/>
          <w:sz w:val="24"/>
          <w:szCs w:val="24"/>
          <w:rtl/>
          <w14:ligatures w14:val="none"/>
        </w:rPr>
      </w:pPr>
    </w:p>
    <w:p w:rsidR="00B02B1D" w:rsidRDefault="00B02B1D" w:rsidP="00B02B1D">
      <w:pPr>
        <w:pStyle w:val="Ruller4"/>
        <w:tabs>
          <w:tab w:val="left" w:pos="-2764"/>
        </w:tabs>
        <w:ind w:left="651" w:hanging="567"/>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ab/>
        <w:t xml:space="preserve">ברי שהתייחסותו של ב"כ היועמ"ש </w:t>
      </w:r>
      <w:r>
        <w:rPr>
          <w:rFonts w:ascii="David" w:hAnsi="David" w:cs="David"/>
          <w:sz w:val="24"/>
          <w:szCs w:val="24"/>
          <w:rtl/>
        </w:rPr>
        <w:t>כתב הגנתו מתייחס רק לשאלת ההתכנות של הבדיקה מכוח הדין, ואין בעמדתו כדי להקרין על השאלה העיקרית בתיק זה כפי שתובא להלן.</w:t>
      </w:r>
    </w:p>
    <w:p w:rsidR="00B02B1D" w:rsidRDefault="00B02B1D" w:rsidP="00B02B1D">
      <w:pPr>
        <w:pStyle w:val="Ruller4"/>
        <w:tabs>
          <w:tab w:val="left" w:pos="-2764"/>
        </w:tabs>
        <w:ind w:left="651" w:hanging="567"/>
        <w:rPr>
          <w:rFonts w:ascii="David" w:eastAsiaTheme="minorHAnsi" w:hAnsi="David" w:cs="David"/>
          <w:spacing w:val="0"/>
          <w:kern w:val="0"/>
          <w:sz w:val="24"/>
          <w:szCs w:val="24"/>
          <w:rtl/>
          <w14:ligatures w14:val="none"/>
        </w:rPr>
      </w:pPr>
    </w:p>
    <w:p w:rsidR="00B02B1D" w:rsidRDefault="00B02B1D" w:rsidP="00B02B1D">
      <w:pPr>
        <w:pStyle w:val="Ruller4"/>
        <w:tabs>
          <w:tab w:val="left" w:pos="-2764"/>
        </w:tabs>
        <w:ind w:left="651" w:hanging="567"/>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7</w:t>
      </w:r>
      <w:r>
        <w:rPr>
          <w:rFonts w:ascii="David" w:eastAsiaTheme="minorHAnsi" w:hAnsi="David" w:cs="David"/>
          <w:b/>
          <w:bCs/>
          <w:spacing w:val="0"/>
          <w:kern w:val="0"/>
          <w:sz w:val="24"/>
          <w:szCs w:val="24"/>
          <w:rtl/>
          <w14:ligatures w14:val="none"/>
        </w:rPr>
        <w:t>.</w:t>
      </w:r>
      <w:r>
        <w:rPr>
          <w:rFonts w:ascii="David" w:eastAsiaTheme="minorHAnsi" w:hAnsi="David" w:cs="David"/>
          <w:b/>
          <w:bCs/>
          <w:spacing w:val="0"/>
          <w:kern w:val="0"/>
          <w:sz w:val="24"/>
          <w:szCs w:val="24"/>
          <w:rtl/>
          <w14:ligatures w14:val="none"/>
        </w:rPr>
        <w:tab/>
      </w:r>
      <w:r>
        <w:rPr>
          <w:rFonts w:ascii="David" w:eastAsiaTheme="minorHAnsi" w:hAnsi="David" w:cs="David"/>
          <w:spacing w:val="0"/>
          <w:kern w:val="0"/>
          <w:sz w:val="24"/>
          <w:szCs w:val="24"/>
          <w:rtl/>
          <w14:ligatures w14:val="none"/>
        </w:rPr>
        <w:t xml:space="preserve">התיק נקבע לדיון ולאחר דחיות התקיים ביום 4/3/2024. לדיון התייצב גם נתבע 3 שהתבקש לצאת את האולם משעה שאינו עוד חלק מהתיק כמובהר לעיל.  </w:t>
      </w:r>
    </w:p>
    <w:p w:rsidR="00B02B1D" w:rsidRDefault="00B02B1D" w:rsidP="00B02B1D">
      <w:pPr>
        <w:pStyle w:val="Ruller4"/>
        <w:tabs>
          <w:tab w:val="left" w:pos="-2764"/>
        </w:tabs>
        <w:ind w:left="651" w:hanging="567"/>
        <w:rPr>
          <w:rFonts w:ascii="David" w:eastAsiaTheme="minorHAnsi" w:hAnsi="David" w:cs="David"/>
          <w:spacing w:val="0"/>
          <w:kern w:val="0"/>
          <w:sz w:val="24"/>
          <w:szCs w:val="24"/>
          <w:rtl/>
          <w14:ligatures w14:val="none"/>
        </w:rPr>
      </w:pPr>
    </w:p>
    <w:p w:rsidR="00B02B1D" w:rsidRDefault="00B02B1D" w:rsidP="00B02B1D">
      <w:pPr>
        <w:pStyle w:val="Ruller4"/>
        <w:tabs>
          <w:tab w:val="left" w:pos="-2764"/>
        </w:tabs>
        <w:ind w:left="651" w:hanging="567"/>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ab/>
        <w:t>ככלל חזרו הצדדים על עמדותיהם ומתוכם יובאו הדברים הבאים:</w:t>
      </w:r>
    </w:p>
    <w:p w:rsidR="00B02B1D" w:rsidRDefault="00B02B1D" w:rsidP="00B02B1D">
      <w:pPr>
        <w:pStyle w:val="Ruller4"/>
        <w:tabs>
          <w:tab w:val="left" w:pos="-2764"/>
        </w:tabs>
        <w:ind w:left="651" w:hanging="567"/>
        <w:rPr>
          <w:rFonts w:ascii="David" w:eastAsiaTheme="minorHAnsi" w:hAnsi="David" w:cs="David"/>
          <w:spacing w:val="0"/>
          <w:kern w:val="0"/>
          <w:sz w:val="24"/>
          <w:szCs w:val="24"/>
          <w:rtl/>
          <w14:ligatures w14:val="none"/>
        </w:rPr>
      </w:pPr>
    </w:p>
    <w:p w:rsidR="00B02B1D" w:rsidRDefault="00B02B1D" w:rsidP="00B02B1D">
      <w:pPr>
        <w:pStyle w:val="Ruller4"/>
        <w:tabs>
          <w:tab w:val="left" w:pos="-2764"/>
        </w:tabs>
        <w:ind w:left="651" w:hanging="567"/>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8.</w:t>
      </w:r>
      <w:r>
        <w:rPr>
          <w:rFonts w:ascii="David" w:eastAsiaTheme="minorHAnsi" w:hAnsi="David" w:cs="David"/>
          <w:spacing w:val="0"/>
          <w:kern w:val="0"/>
          <w:sz w:val="24"/>
          <w:szCs w:val="24"/>
          <w:rtl/>
          <w14:ligatures w14:val="none"/>
        </w:rPr>
        <w:tab/>
        <w:t>לאחר הדיון הגיש התובע תצהיר בו ביקש להשיב על תהיות שהועלו על ידי בית המשפט בדיון, כך על פי כותרת המסמך, כשליבת התצהיר הסבר על השתהותו, למעלה מ-9 שנים, בהגשת תביעתו לביצוע בדיקת הרקמות. בתצהירו זה טען שכל חייו היה בקשר טוב עם אביו המנוח "...</w:t>
      </w:r>
      <w:r>
        <w:rPr>
          <w:rFonts w:ascii="David" w:eastAsiaTheme="minorHAnsi" w:hAnsi="David" w:cs="David"/>
          <w:b/>
          <w:bCs/>
          <w:spacing w:val="0"/>
          <w:kern w:val="0"/>
          <w:sz w:val="24"/>
          <w:szCs w:val="24"/>
          <w:rtl/>
          <w14:ligatures w14:val="none"/>
        </w:rPr>
        <w:t xml:space="preserve">אבל לא הייתי בקשר יומיומי עם משפחתי, ידעתי שיש אי נעימות </w:t>
      </w:r>
      <w:proofErr w:type="spellStart"/>
      <w:r>
        <w:rPr>
          <w:rFonts w:ascii="David" w:eastAsiaTheme="minorHAnsi" w:hAnsi="David" w:cs="David"/>
          <w:b/>
          <w:bCs/>
          <w:spacing w:val="0"/>
          <w:kern w:val="0"/>
          <w:sz w:val="24"/>
          <w:szCs w:val="24"/>
          <w:rtl/>
          <w14:ligatures w14:val="none"/>
        </w:rPr>
        <w:t>מסויימת</w:t>
      </w:r>
      <w:proofErr w:type="spellEnd"/>
      <w:r>
        <w:rPr>
          <w:rFonts w:ascii="David" w:eastAsiaTheme="minorHAnsi" w:hAnsi="David" w:cs="David"/>
          <w:b/>
          <w:bCs/>
          <w:spacing w:val="0"/>
          <w:kern w:val="0"/>
          <w:sz w:val="24"/>
          <w:szCs w:val="24"/>
          <w:rtl/>
          <w14:ligatures w14:val="none"/>
        </w:rPr>
        <w:t xml:space="preserve"> בשל העובדה </w:t>
      </w:r>
      <w:proofErr w:type="spellStart"/>
      <w:r>
        <w:rPr>
          <w:rFonts w:ascii="David" w:eastAsiaTheme="minorHAnsi" w:hAnsi="David" w:cs="David"/>
          <w:b/>
          <w:bCs/>
          <w:spacing w:val="0"/>
          <w:kern w:val="0"/>
          <w:sz w:val="24"/>
          <w:szCs w:val="24"/>
          <w:rtl/>
          <w14:ligatures w14:val="none"/>
        </w:rPr>
        <w:t>שאימי</w:t>
      </w:r>
      <w:proofErr w:type="spellEnd"/>
      <w:r>
        <w:rPr>
          <w:rFonts w:ascii="David" w:eastAsiaTheme="minorHAnsi" w:hAnsi="David" w:cs="David"/>
          <w:b/>
          <w:bCs/>
          <w:spacing w:val="0"/>
          <w:kern w:val="0"/>
          <w:sz w:val="24"/>
          <w:szCs w:val="24"/>
          <w:rtl/>
          <w14:ligatures w14:val="none"/>
        </w:rPr>
        <w:t xml:space="preserve"> מוסלמית ואבי יהודי לכן הקשר הי רק בנינו ולא הייתי ילד מוכר רשמית</w:t>
      </w:r>
      <w:r>
        <w:rPr>
          <w:rFonts w:ascii="David" w:eastAsiaTheme="minorHAnsi" w:hAnsi="David" w:cs="David"/>
          <w:spacing w:val="0"/>
          <w:kern w:val="0"/>
          <w:sz w:val="24"/>
          <w:szCs w:val="24"/>
          <w:rtl/>
          <w14:ligatures w14:val="none"/>
        </w:rPr>
        <w:t>" התובע תאר משבר עם אביו "...</w:t>
      </w:r>
      <w:r>
        <w:rPr>
          <w:rFonts w:ascii="David" w:eastAsiaTheme="minorHAnsi" w:hAnsi="David" w:cs="David"/>
          <w:b/>
          <w:bCs/>
          <w:spacing w:val="0"/>
          <w:kern w:val="0"/>
          <w:sz w:val="24"/>
          <w:szCs w:val="24"/>
          <w:rtl/>
          <w14:ligatures w14:val="none"/>
        </w:rPr>
        <w:t>בערך בשנת 2012</w:t>
      </w:r>
      <w:r>
        <w:rPr>
          <w:rFonts w:ascii="David" w:eastAsiaTheme="minorHAnsi" w:hAnsi="David" w:cs="David"/>
          <w:spacing w:val="0"/>
          <w:kern w:val="0"/>
          <w:sz w:val="24"/>
          <w:szCs w:val="24"/>
          <w:rtl/>
          <w14:ligatures w14:val="none"/>
        </w:rPr>
        <w:t>" משום שהוא דיבר לא יפה עם אמו  ואביו המנוח "...</w:t>
      </w:r>
      <w:r>
        <w:rPr>
          <w:rFonts w:ascii="David" w:eastAsiaTheme="minorHAnsi" w:hAnsi="David" w:cs="David"/>
          <w:b/>
          <w:bCs/>
          <w:spacing w:val="0"/>
          <w:kern w:val="0"/>
          <w:sz w:val="24"/>
          <w:szCs w:val="24"/>
          <w:rtl/>
          <w14:ligatures w14:val="none"/>
        </w:rPr>
        <w:t xml:space="preserve">וצעק עלי למה לא דיברתי יפה </w:t>
      </w:r>
      <w:proofErr w:type="spellStart"/>
      <w:r>
        <w:rPr>
          <w:rFonts w:ascii="David" w:eastAsiaTheme="minorHAnsi" w:hAnsi="David" w:cs="David"/>
          <w:b/>
          <w:bCs/>
          <w:spacing w:val="0"/>
          <w:kern w:val="0"/>
          <w:sz w:val="24"/>
          <w:szCs w:val="24"/>
          <w:rtl/>
          <w14:ligatures w14:val="none"/>
        </w:rPr>
        <w:t>לאמא</w:t>
      </w:r>
      <w:proofErr w:type="spellEnd"/>
      <w:r>
        <w:rPr>
          <w:rFonts w:ascii="David" w:eastAsiaTheme="minorHAnsi" w:hAnsi="David" w:cs="David"/>
          <w:b/>
          <w:bCs/>
          <w:spacing w:val="0"/>
          <w:kern w:val="0"/>
          <w:sz w:val="24"/>
          <w:szCs w:val="24"/>
          <w:rtl/>
          <w14:ligatures w14:val="none"/>
        </w:rPr>
        <w:t xml:space="preserve"> שלי</w:t>
      </w:r>
      <w:r>
        <w:rPr>
          <w:rFonts w:ascii="David" w:eastAsiaTheme="minorHAnsi" w:hAnsi="David" w:cs="David"/>
          <w:spacing w:val="0"/>
          <w:kern w:val="0"/>
          <w:sz w:val="24"/>
          <w:szCs w:val="24"/>
          <w:rtl/>
          <w14:ligatures w14:val="none"/>
        </w:rPr>
        <w:t>...". בשל כך,  טען "...</w:t>
      </w:r>
      <w:proofErr w:type="spellStart"/>
      <w:r>
        <w:rPr>
          <w:rFonts w:ascii="David" w:eastAsiaTheme="minorHAnsi" w:hAnsi="David" w:cs="David"/>
          <w:b/>
          <w:bCs/>
          <w:spacing w:val="0"/>
          <w:kern w:val="0"/>
          <w:sz w:val="24"/>
          <w:szCs w:val="24"/>
          <w:rtl/>
          <w14:ligatures w14:val="none"/>
        </w:rPr>
        <w:t>ניתקי</w:t>
      </w:r>
      <w:proofErr w:type="spellEnd"/>
      <w:r>
        <w:rPr>
          <w:rFonts w:ascii="David" w:eastAsiaTheme="minorHAnsi" w:hAnsi="David" w:cs="David"/>
          <w:spacing w:val="0"/>
          <w:kern w:val="0"/>
          <w:sz w:val="24"/>
          <w:szCs w:val="24"/>
          <w:rtl/>
          <w14:ligatures w14:val="none"/>
        </w:rPr>
        <w:t xml:space="preserve"> (כך במקור) </w:t>
      </w:r>
      <w:r>
        <w:rPr>
          <w:rFonts w:ascii="David" w:eastAsiaTheme="minorHAnsi" w:hAnsi="David" w:cs="David"/>
          <w:b/>
          <w:bCs/>
          <w:spacing w:val="0"/>
          <w:kern w:val="0"/>
          <w:sz w:val="24"/>
          <w:szCs w:val="24"/>
          <w:rtl/>
          <w14:ligatures w14:val="none"/>
        </w:rPr>
        <w:t>קשר עם אבי</w:t>
      </w:r>
      <w:r>
        <w:rPr>
          <w:rFonts w:ascii="David" w:eastAsiaTheme="minorHAnsi" w:hAnsi="David" w:cs="David"/>
          <w:spacing w:val="0"/>
          <w:kern w:val="0"/>
          <w:sz w:val="24"/>
          <w:szCs w:val="24"/>
          <w:rtl/>
          <w14:ligatures w14:val="none"/>
        </w:rPr>
        <w:t>..." התובע טען שבמות אביו חיפשו אותו בני משפחתו המורחבת, הגם ש("...</w:t>
      </w:r>
      <w:r>
        <w:rPr>
          <w:rFonts w:ascii="David" w:eastAsiaTheme="minorHAnsi" w:hAnsi="David" w:cs="David"/>
          <w:b/>
          <w:bCs/>
          <w:spacing w:val="0"/>
          <w:kern w:val="0"/>
          <w:sz w:val="24"/>
          <w:szCs w:val="24"/>
          <w:rtl/>
          <w14:ligatures w14:val="none"/>
        </w:rPr>
        <w:t>ולא היה לי קשר עמם כלל</w:t>
      </w:r>
      <w:r>
        <w:rPr>
          <w:rFonts w:ascii="David" w:eastAsiaTheme="minorHAnsi" w:hAnsi="David" w:cs="David"/>
          <w:spacing w:val="0"/>
          <w:kern w:val="0"/>
          <w:sz w:val="24"/>
          <w:szCs w:val="24"/>
          <w:rtl/>
          <w14:ligatures w14:val="none"/>
        </w:rPr>
        <w:t>")  "...</w:t>
      </w:r>
      <w:r>
        <w:rPr>
          <w:rFonts w:ascii="David" w:eastAsiaTheme="minorHAnsi" w:hAnsi="David" w:cs="David"/>
          <w:b/>
          <w:bCs/>
          <w:spacing w:val="0"/>
          <w:kern w:val="0"/>
          <w:sz w:val="24"/>
          <w:szCs w:val="24"/>
          <w:rtl/>
          <w14:ligatures w14:val="none"/>
        </w:rPr>
        <w:t>בעיקר דודתי, ד</w:t>
      </w:r>
      <w:r>
        <w:rPr>
          <w:rFonts w:ascii="David" w:eastAsiaTheme="minorHAnsi" w:hAnsi="David" w:cs="David" w:hint="cs"/>
          <w:b/>
          <w:bCs/>
          <w:spacing w:val="0"/>
          <w:kern w:val="0"/>
          <w:sz w:val="24"/>
          <w:szCs w:val="24"/>
          <w:rtl/>
          <w14:ligatures w14:val="none"/>
        </w:rPr>
        <w:t>.</w:t>
      </w:r>
      <w:r>
        <w:rPr>
          <w:rFonts w:ascii="David" w:eastAsiaTheme="minorHAnsi" w:hAnsi="David" w:cs="David"/>
          <w:b/>
          <w:bCs/>
          <w:spacing w:val="0"/>
          <w:kern w:val="0"/>
          <w:sz w:val="24"/>
          <w:szCs w:val="24"/>
          <w:rtl/>
          <w14:ligatures w14:val="none"/>
        </w:rPr>
        <w:t xml:space="preserve"> א</w:t>
      </w:r>
      <w:r>
        <w:rPr>
          <w:rFonts w:ascii="David" w:eastAsiaTheme="minorHAnsi" w:hAnsi="David" w:cs="David" w:hint="cs"/>
          <w:b/>
          <w:bCs/>
          <w:spacing w:val="0"/>
          <w:kern w:val="0"/>
          <w:sz w:val="24"/>
          <w:szCs w:val="24"/>
          <w:rtl/>
          <w14:ligatures w14:val="none"/>
        </w:rPr>
        <w:t>.</w:t>
      </w:r>
      <w:r>
        <w:rPr>
          <w:rFonts w:ascii="David" w:eastAsiaTheme="minorHAnsi" w:hAnsi="David" w:cs="David"/>
          <w:b/>
          <w:bCs/>
          <w:spacing w:val="0"/>
          <w:kern w:val="0"/>
          <w:sz w:val="24"/>
          <w:szCs w:val="24"/>
          <w:rtl/>
          <w14:ligatures w14:val="none"/>
        </w:rPr>
        <w:t>, ואז פנו אלי והודיעו לי שאבא שלי נפטר, כיום דודתי ד</w:t>
      </w:r>
      <w:r>
        <w:rPr>
          <w:rFonts w:ascii="David" w:eastAsiaTheme="minorHAnsi" w:hAnsi="David" w:cs="David" w:hint="cs"/>
          <w:b/>
          <w:bCs/>
          <w:spacing w:val="0"/>
          <w:kern w:val="0"/>
          <w:sz w:val="24"/>
          <w:szCs w:val="24"/>
          <w:rtl/>
          <w14:ligatures w14:val="none"/>
        </w:rPr>
        <w:t>.</w:t>
      </w:r>
      <w:r>
        <w:rPr>
          <w:rFonts w:ascii="David" w:eastAsiaTheme="minorHAnsi" w:hAnsi="David" w:cs="David"/>
          <w:b/>
          <w:bCs/>
          <w:spacing w:val="0"/>
          <w:kern w:val="0"/>
          <w:sz w:val="24"/>
          <w:szCs w:val="24"/>
          <w:rtl/>
          <w14:ligatures w14:val="none"/>
        </w:rPr>
        <w:t xml:space="preserve"> נפטרה ממחלת הסרטן</w:t>
      </w:r>
      <w:r>
        <w:rPr>
          <w:rFonts w:ascii="David" w:eastAsiaTheme="minorHAnsi" w:hAnsi="David" w:cs="David"/>
          <w:spacing w:val="0"/>
          <w:kern w:val="0"/>
          <w:sz w:val="24"/>
          <w:szCs w:val="24"/>
          <w:rtl/>
          <w14:ligatures w14:val="none"/>
        </w:rPr>
        <w:t>".</w:t>
      </w:r>
    </w:p>
    <w:p w:rsidR="00B02B1D" w:rsidRDefault="00B02B1D" w:rsidP="00B02B1D">
      <w:pPr>
        <w:pStyle w:val="Ruller4"/>
        <w:tabs>
          <w:tab w:val="left" w:pos="-2764"/>
        </w:tabs>
        <w:ind w:left="651" w:hanging="567"/>
        <w:rPr>
          <w:rFonts w:ascii="David" w:eastAsiaTheme="minorHAnsi" w:hAnsi="David" w:cs="David"/>
          <w:spacing w:val="0"/>
          <w:kern w:val="0"/>
          <w:sz w:val="24"/>
          <w:szCs w:val="24"/>
          <w:rtl/>
          <w14:ligatures w14:val="none"/>
        </w:rPr>
      </w:pPr>
    </w:p>
    <w:p w:rsidR="00B02B1D" w:rsidRDefault="00B02B1D" w:rsidP="00B02B1D">
      <w:pPr>
        <w:pStyle w:val="Ruller4"/>
        <w:tabs>
          <w:tab w:val="left" w:pos="-2764"/>
        </w:tabs>
        <w:ind w:left="651" w:hanging="567"/>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9.</w:t>
      </w:r>
      <w:r>
        <w:rPr>
          <w:rFonts w:ascii="David" w:eastAsiaTheme="minorHAnsi" w:hAnsi="David" w:cs="David"/>
          <w:spacing w:val="0"/>
          <w:kern w:val="0"/>
          <w:sz w:val="24"/>
          <w:szCs w:val="24"/>
          <w:rtl/>
          <w14:ligatures w14:val="none"/>
        </w:rPr>
        <w:tab/>
        <w:t xml:space="preserve">העובדות המוצגות  על ידי התובע והמסמכים שצירף לביסוסן, לכאורה, ראוי שיבחנו הגם שהם מעלים לא מעט שאלות בגרסה המתפתחת של התובע, אולם לא בהליך זה. </w:t>
      </w:r>
    </w:p>
    <w:p w:rsidR="00B02B1D" w:rsidRDefault="00B02B1D" w:rsidP="00B02B1D">
      <w:pPr>
        <w:pStyle w:val="Ruller4"/>
        <w:tabs>
          <w:tab w:val="left" w:pos="-2764"/>
        </w:tabs>
        <w:ind w:left="651" w:hanging="567"/>
        <w:rPr>
          <w:rFonts w:ascii="David" w:eastAsiaTheme="minorHAnsi" w:hAnsi="David" w:cs="David"/>
          <w:spacing w:val="0"/>
          <w:kern w:val="0"/>
          <w:sz w:val="24"/>
          <w:szCs w:val="24"/>
          <w:rtl/>
          <w14:ligatures w14:val="none"/>
        </w:rPr>
      </w:pPr>
    </w:p>
    <w:p w:rsidR="00B02B1D" w:rsidRDefault="00B02B1D" w:rsidP="00B02B1D">
      <w:pPr>
        <w:pStyle w:val="Ruller4"/>
        <w:tabs>
          <w:tab w:val="left" w:pos="-2764"/>
        </w:tabs>
        <w:ind w:left="651" w:hanging="567"/>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10.</w:t>
      </w:r>
      <w:r>
        <w:rPr>
          <w:rFonts w:ascii="David" w:eastAsiaTheme="minorHAnsi" w:hAnsi="David" w:cs="David"/>
          <w:spacing w:val="0"/>
          <w:kern w:val="0"/>
          <w:sz w:val="24"/>
          <w:szCs w:val="24"/>
          <w:rtl/>
          <w14:ligatures w14:val="none"/>
        </w:rPr>
        <w:tab/>
        <w:t>השאלה לה ראוי להידרש בתובענה זו  האם נקט התובע בהליך הנכון: האם ראוי להתיר את ביצוע הבדיקה תוך התעלמות מכך שצו הירושה תקף כל עוד לא בוטל וחרף זאת בהתעלמות מחובתו של התובע להתמודד עם הליך מקדים של ביטול צו הירושה  ועל פי התוצאה לפנות (או לא על פי התוצאה) לביצוע הבדיקה הגנטית או שדרך המלך היא הגשת תובענה לביטול צו הירושה ורק לאחר מעבר משוכה זו לבחון את שאלת בדיקת הרקמות.</w:t>
      </w:r>
    </w:p>
    <w:p w:rsidR="00B02B1D" w:rsidRDefault="00B02B1D" w:rsidP="00B02B1D">
      <w:pPr>
        <w:pStyle w:val="Ruller4"/>
        <w:tabs>
          <w:tab w:val="left" w:pos="-2764"/>
        </w:tabs>
        <w:ind w:left="651" w:hanging="567"/>
        <w:rPr>
          <w:rFonts w:ascii="David" w:eastAsiaTheme="minorHAnsi" w:hAnsi="David" w:cs="David"/>
          <w:spacing w:val="0"/>
          <w:kern w:val="0"/>
          <w:sz w:val="24"/>
          <w:szCs w:val="24"/>
          <w:rtl/>
          <w14:ligatures w14:val="none"/>
        </w:rPr>
      </w:pPr>
    </w:p>
    <w:p w:rsidR="00B02B1D" w:rsidRDefault="00B02B1D" w:rsidP="00B02B1D">
      <w:pPr>
        <w:pStyle w:val="Ruller4"/>
        <w:tabs>
          <w:tab w:val="left" w:pos="-2764"/>
        </w:tabs>
        <w:ind w:left="651" w:hanging="567"/>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lastRenderedPageBreak/>
        <w:t xml:space="preserve">11. </w:t>
      </w:r>
      <w:r>
        <w:rPr>
          <w:rFonts w:ascii="David" w:eastAsiaTheme="minorHAnsi" w:hAnsi="David" w:cs="David"/>
          <w:spacing w:val="0"/>
          <w:kern w:val="0"/>
          <w:sz w:val="24"/>
          <w:szCs w:val="24"/>
          <w:rtl/>
          <w14:ligatures w14:val="none"/>
        </w:rPr>
        <w:tab/>
        <w:t xml:space="preserve">בירורה של זהותו הגנטית של פלוני קיבלה עדיפות בחקיקה ובפסיקה.  כך למשל סעיף 28 ו לחוק מידע גנטי תשס"א-2000 המאפשר בדיקה גנטית גם ללא הסכמת הנבדק המהווה ביטוי לחשיבות שהענק המחוקק לבירור שאלת האבהות.  בפסיקה נקבע לא אחת ששאלת בירור זהות גנטית כורכת בחובה אינטרסים שונים ועניינים נוספים ובהם גם ענייני ירושה – הוא מהותה של התביעה שלפני. </w:t>
      </w:r>
    </w:p>
    <w:p w:rsidR="00B02B1D" w:rsidRDefault="00B02B1D" w:rsidP="00B02B1D">
      <w:pPr>
        <w:pStyle w:val="Ruller4"/>
        <w:tabs>
          <w:tab w:val="left" w:pos="-2764"/>
        </w:tabs>
        <w:ind w:left="651" w:hanging="567"/>
        <w:rPr>
          <w:rFonts w:ascii="David" w:eastAsiaTheme="minorHAnsi" w:hAnsi="David" w:cs="David"/>
          <w:spacing w:val="0"/>
          <w:kern w:val="0"/>
          <w:sz w:val="24"/>
          <w:szCs w:val="24"/>
          <w:rtl/>
          <w14:ligatures w14:val="none"/>
        </w:rPr>
      </w:pPr>
    </w:p>
    <w:p w:rsidR="00B02B1D" w:rsidRDefault="00B02B1D" w:rsidP="00B02B1D">
      <w:pPr>
        <w:spacing w:line="360" w:lineRule="auto"/>
        <w:ind w:left="720" w:hanging="720"/>
        <w:jc w:val="both"/>
        <w:rPr>
          <w:rFonts w:ascii="David" w:eastAsiaTheme="minorHAnsi" w:hAnsi="David"/>
          <w:rtl/>
        </w:rPr>
      </w:pPr>
      <w:r>
        <w:rPr>
          <w:rFonts w:ascii="David" w:hAnsi="David"/>
          <w:rtl/>
        </w:rPr>
        <w:t>12.</w:t>
      </w:r>
      <w:r>
        <w:rPr>
          <w:rFonts w:ascii="David" w:hAnsi="David"/>
          <w:rtl/>
        </w:rPr>
        <w:tab/>
        <w:t>צו ירושה הוא פסק דין כלפי כולי עלמא: על כן,  יוצר הוא הכרעה סופית  ומחייבת, אף אם נפלה בו שגגה והוא מוטעה. (</w:t>
      </w:r>
      <w:r>
        <w:rPr>
          <w:rFonts w:ascii="David" w:hAnsi="David"/>
          <w:u w:val="single"/>
          <w:rtl/>
        </w:rPr>
        <w:t>עמ"ש (ים) 28361-10-15</w:t>
      </w:r>
      <w:r>
        <w:rPr>
          <w:rFonts w:ascii="David" w:hAnsi="David"/>
          <w:rtl/>
        </w:rPr>
        <w:t xml:space="preserve">  </w:t>
      </w:r>
      <w:r>
        <w:rPr>
          <w:rFonts w:ascii="David" w:hAnsi="David"/>
          <w:b/>
          <w:bCs/>
          <w:rtl/>
        </w:rPr>
        <w:t xml:space="preserve">י.ג </w:t>
      </w:r>
      <w:r>
        <w:rPr>
          <w:rFonts w:ascii="David" w:hAnsi="David"/>
          <w:rtl/>
        </w:rPr>
        <w:t>נ'</w:t>
      </w:r>
      <w:r>
        <w:rPr>
          <w:rFonts w:ascii="David" w:hAnsi="David"/>
          <w:b/>
          <w:bCs/>
          <w:rtl/>
        </w:rPr>
        <w:t xml:space="preserve"> ר.מ. ועוד 6 אח</w:t>
      </w:r>
      <w:r>
        <w:rPr>
          <w:rFonts w:ascii="David" w:hAnsi="David"/>
          <w:rtl/>
        </w:rPr>
        <w:t>' 29/01/12012)).</w:t>
      </w:r>
    </w:p>
    <w:p w:rsidR="00B02B1D" w:rsidRDefault="00B02B1D" w:rsidP="00B02B1D">
      <w:pPr>
        <w:spacing w:line="360" w:lineRule="auto"/>
        <w:ind w:left="720" w:hanging="720"/>
        <w:jc w:val="both"/>
        <w:rPr>
          <w:rFonts w:ascii="David" w:hAnsi="David"/>
          <w:rtl/>
        </w:rPr>
      </w:pPr>
      <w:r>
        <w:rPr>
          <w:rFonts w:ascii="David" w:hAnsi="David"/>
          <w:rtl/>
        </w:rPr>
        <w:tab/>
        <w:t>ביטולו או תיקונו, כמו במקרה מושא פסק דין זה, אפשרי על פי הקבוע בסעיף 72 לחוק הירושה.</w:t>
      </w:r>
    </w:p>
    <w:p w:rsidR="00B02B1D" w:rsidRDefault="00B02B1D" w:rsidP="00B02B1D">
      <w:pPr>
        <w:spacing w:line="360" w:lineRule="auto"/>
        <w:jc w:val="both"/>
        <w:rPr>
          <w:rFonts w:ascii="David" w:hAnsi="David"/>
        </w:rPr>
      </w:pPr>
      <w:r>
        <w:rPr>
          <w:rFonts w:ascii="David" w:hAnsi="David"/>
          <w:rtl/>
        </w:rPr>
        <w:tab/>
        <w:t xml:space="preserve">סעיף 72 לחוק הירושה קובע: </w:t>
      </w:r>
    </w:p>
    <w:p w:rsidR="00B02B1D" w:rsidRDefault="00B02B1D" w:rsidP="00B02B1D">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left="1440" w:right="-142" w:hanging="1020"/>
        <w:jc w:val="both"/>
        <w:rPr>
          <w:rFonts w:ascii="David" w:hAnsi="David"/>
          <w:b/>
          <w:bCs/>
          <w:rtl/>
        </w:rPr>
      </w:pPr>
      <w:r>
        <w:rPr>
          <w:rFonts w:ascii="David" w:hAnsi="David"/>
          <w:rtl/>
        </w:rPr>
        <w:t xml:space="preserve">    " 72</w:t>
      </w:r>
      <w:r>
        <w:rPr>
          <w:rFonts w:ascii="David" w:hAnsi="David"/>
          <w:b/>
          <w:bCs/>
          <w:rtl/>
        </w:rPr>
        <w:t>.</w:t>
      </w:r>
      <w:r>
        <w:rPr>
          <w:rFonts w:ascii="David" w:hAnsi="David"/>
          <w:b/>
          <w:bCs/>
          <w:rtl/>
        </w:rPr>
        <w:tab/>
        <w:t>(א)</w:t>
      </w:r>
      <w:r>
        <w:rPr>
          <w:rFonts w:ascii="David" w:hAnsi="David"/>
          <w:b/>
          <w:bCs/>
          <w:rtl/>
        </w:rPr>
        <w:tab/>
        <w:t>נתן רשם לענייני ירושה או בית משפט צו ירושה או צו קיום, רשאי כל אחד מהם, לגבי צווים שנתן, לפי בקשת מעוניין בדבר, לתקנם או לבטלם על סמך עובדות או טענות שלא היו בפניו בזמן מתן הצו; ואולם ראה רשם לענייני ירושה שלא להיזקק לעובדה או לטענה שהמבקש יכול היה להביאה לפני מתן הצו, או שיכול היה להביאה לאחר מכן ולא עשה כן בהזדמנות הסבירה הראשונה, יעביר את הבקשה לבית המשפט.</w:t>
      </w:r>
    </w:p>
    <w:p w:rsidR="00B02B1D" w:rsidRDefault="00B02B1D" w:rsidP="00B02B1D">
      <w:pPr>
        <w:spacing w:line="360" w:lineRule="auto"/>
        <w:jc w:val="both"/>
        <w:rPr>
          <w:rFonts w:ascii="David" w:hAnsi="David"/>
          <w:rtl/>
        </w:rPr>
      </w:pPr>
      <w:r>
        <w:rPr>
          <w:rFonts w:ascii="David" w:hAnsi="David"/>
          <w:b/>
          <w:bCs/>
          <w:rtl/>
        </w:rPr>
        <w:tab/>
        <w:t xml:space="preserve"> </w:t>
      </w:r>
      <w:r>
        <w:rPr>
          <w:rFonts w:ascii="David" w:hAnsi="David"/>
          <w:b/>
          <w:bCs/>
          <w:rtl/>
        </w:rPr>
        <w:tab/>
        <w:t>(ב)</w:t>
      </w:r>
      <w:r>
        <w:rPr>
          <w:rFonts w:ascii="David" w:hAnsi="David"/>
          <w:rtl/>
        </w:rPr>
        <w:tab/>
        <w:t>...".</w:t>
      </w:r>
    </w:p>
    <w:p w:rsidR="00B02B1D" w:rsidRDefault="00B02B1D" w:rsidP="00B02B1D">
      <w:pPr>
        <w:spacing w:line="360" w:lineRule="auto"/>
        <w:jc w:val="both"/>
        <w:rPr>
          <w:rFonts w:ascii="David" w:hAnsi="David"/>
          <w:rtl/>
        </w:rPr>
      </w:pPr>
      <w:r>
        <w:rPr>
          <w:rFonts w:ascii="David" w:hAnsi="David"/>
          <w:rtl/>
        </w:rPr>
        <w:tab/>
      </w:r>
    </w:p>
    <w:p w:rsidR="00B02B1D" w:rsidRDefault="00B02B1D" w:rsidP="00B02B1D">
      <w:pPr>
        <w:spacing w:line="360" w:lineRule="auto"/>
        <w:ind w:left="720" w:hanging="720"/>
        <w:jc w:val="both"/>
        <w:rPr>
          <w:rFonts w:ascii="Arial" w:hAnsi="Arial"/>
          <w:sz w:val="22"/>
          <w:szCs w:val="22"/>
          <w:rtl/>
        </w:rPr>
      </w:pPr>
      <w:r>
        <w:rPr>
          <w:rFonts w:ascii="Arial" w:hAnsi="Arial"/>
          <w:rtl/>
        </w:rPr>
        <w:t>13.</w:t>
      </w:r>
      <w:r>
        <w:rPr>
          <w:rFonts w:ascii="Arial" w:hAnsi="Arial"/>
          <w:rtl/>
        </w:rPr>
        <w:tab/>
        <w:t xml:space="preserve">בפועל מבקש המבקש התובע לדלג על השלב של בירור טענותיו כמסד לביטול צו הירושה ולשנות את צו הירושה על דרך של בדיקה גנטית,  הבאת הוכחה מקדימה לתביעתו לביטול צו הירושה. לא זה הדרך. </w:t>
      </w:r>
    </w:p>
    <w:p w:rsidR="00B02B1D" w:rsidRDefault="00B02B1D" w:rsidP="00B02B1D">
      <w:pPr>
        <w:spacing w:line="360" w:lineRule="auto"/>
        <w:ind w:left="720" w:hanging="720"/>
        <w:jc w:val="both"/>
        <w:rPr>
          <w:rFonts w:ascii="Arial" w:hAnsi="Arial"/>
          <w:sz w:val="22"/>
          <w:szCs w:val="22"/>
          <w:rtl/>
        </w:rPr>
      </w:pPr>
    </w:p>
    <w:p w:rsidR="00B02B1D" w:rsidRDefault="00B02B1D" w:rsidP="00B02B1D">
      <w:pPr>
        <w:spacing w:line="360" w:lineRule="auto"/>
        <w:ind w:left="720" w:hanging="720"/>
        <w:jc w:val="both"/>
        <w:rPr>
          <w:rFonts w:ascii="Arial" w:hAnsi="Arial"/>
          <w:rtl/>
        </w:rPr>
      </w:pPr>
      <w:r>
        <w:rPr>
          <w:rFonts w:ascii="Arial" w:hAnsi="Arial"/>
          <w:rtl/>
        </w:rPr>
        <w:t>14.</w:t>
      </w:r>
      <w:r>
        <w:rPr>
          <w:rFonts w:ascii="Arial" w:hAnsi="Arial"/>
          <w:rtl/>
        </w:rPr>
        <w:tab/>
        <w:t>כל עוד פסק הדין (צו הירושה) עומד על מקומו הוא המתווה את ההליכים מכוחו. על התובע היה להגיש מלכתחילה תביעה לביטול פסק הדין (צו הירושה) מקל וחומר בשים לב לחלוף הזמן, הידיעה וכיוצא באלה טענות שאמורות להיבחן. כאמור, רק לאחר שיעבור משוכה זו יוכל לבקש את הבדיקה הגנטית.</w:t>
      </w:r>
    </w:p>
    <w:p w:rsidR="00B02B1D" w:rsidRDefault="00B02B1D" w:rsidP="00B02B1D">
      <w:pPr>
        <w:spacing w:line="360" w:lineRule="auto"/>
        <w:ind w:left="720" w:hanging="720"/>
        <w:jc w:val="both"/>
        <w:rPr>
          <w:rFonts w:ascii="Arial" w:hAnsi="Arial"/>
          <w:rtl/>
        </w:rPr>
      </w:pPr>
    </w:p>
    <w:p w:rsidR="00B02B1D" w:rsidRDefault="00B02B1D" w:rsidP="00B02B1D">
      <w:pPr>
        <w:spacing w:line="360" w:lineRule="auto"/>
        <w:ind w:left="720" w:hanging="720"/>
        <w:jc w:val="both"/>
        <w:rPr>
          <w:rFonts w:ascii="Arial" w:hAnsi="Arial"/>
          <w:rtl/>
        </w:rPr>
      </w:pPr>
      <w:r>
        <w:rPr>
          <w:rFonts w:ascii="Arial" w:hAnsi="Arial"/>
          <w:rtl/>
        </w:rPr>
        <w:t>15.</w:t>
      </w:r>
      <w:r>
        <w:rPr>
          <w:rFonts w:ascii="Arial" w:hAnsi="Arial"/>
          <w:rtl/>
        </w:rPr>
        <w:tab/>
        <w:t>בשים לב לאמור התביעה נמחקת.</w:t>
      </w:r>
    </w:p>
    <w:p w:rsidR="00B02B1D" w:rsidRDefault="00B02B1D" w:rsidP="00B02B1D">
      <w:pPr>
        <w:spacing w:line="360" w:lineRule="auto"/>
        <w:ind w:left="720" w:hanging="720"/>
        <w:jc w:val="both"/>
        <w:rPr>
          <w:rFonts w:ascii="Arial" w:hAnsi="Arial"/>
          <w:rtl/>
        </w:rPr>
      </w:pPr>
    </w:p>
    <w:p w:rsidR="00B02B1D" w:rsidRDefault="00B02B1D" w:rsidP="00B02B1D">
      <w:pPr>
        <w:spacing w:line="360" w:lineRule="auto"/>
        <w:ind w:left="720" w:hanging="720"/>
        <w:jc w:val="both"/>
        <w:rPr>
          <w:rFonts w:ascii="Arial" w:hAnsi="Arial"/>
          <w:rtl/>
        </w:rPr>
      </w:pPr>
      <w:r>
        <w:rPr>
          <w:rFonts w:ascii="Arial" w:hAnsi="Arial"/>
          <w:rtl/>
        </w:rPr>
        <w:t>16.</w:t>
      </w:r>
      <w:r>
        <w:rPr>
          <w:rFonts w:ascii="Arial" w:hAnsi="Arial"/>
          <w:rtl/>
        </w:rPr>
        <w:tab/>
        <w:t>התובע יישא בהוצאות הנתבעות  בסך 2,500 לכל נתבעת.</w:t>
      </w:r>
    </w:p>
    <w:p w:rsidR="00B02B1D" w:rsidRDefault="00B02B1D" w:rsidP="00B02B1D">
      <w:pPr>
        <w:spacing w:line="360" w:lineRule="auto"/>
        <w:ind w:left="720" w:hanging="720"/>
        <w:jc w:val="both"/>
        <w:rPr>
          <w:rFonts w:ascii="Arial" w:hAnsi="Arial"/>
          <w:rtl/>
        </w:rPr>
      </w:pPr>
    </w:p>
    <w:p w:rsidR="00B02B1D" w:rsidRDefault="00B02B1D" w:rsidP="00B02B1D">
      <w:pPr>
        <w:spacing w:line="360" w:lineRule="auto"/>
        <w:ind w:left="720" w:hanging="720"/>
        <w:jc w:val="both"/>
        <w:rPr>
          <w:rFonts w:ascii="Arial" w:hAnsi="Arial"/>
          <w:rtl/>
        </w:rPr>
      </w:pPr>
      <w:r>
        <w:rPr>
          <w:rFonts w:ascii="Arial" w:hAnsi="Arial"/>
          <w:rtl/>
        </w:rPr>
        <w:t>17.</w:t>
      </w:r>
      <w:r>
        <w:rPr>
          <w:rFonts w:ascii="Arial" w:hAnsi="Arial"/>
          <w:rtl/>
        </w:rPr>
        <w:tab/>
        <w:t>בזאת תם הטיפול בתובענה.</w:t>
      </w:r>
    </w:p>
    <w:p w:rsidR="00B02B1D" w:rsidRDefault="00B02B1D" w:rsidP="00B02B1D">
      <w:pPr>
        <w:spacing w:line="360" w:lineRule="auto"/>
        <w:ind w:left="720" w:hanging="720"/>
        <w:jc w:val="both"/>
        <w:rPr>
          <w:rFonts w:ascii="Arial" w:hAnsi="Arial"/>
          <w:rtl/>
        </w:rPr>
      </w:pPr>
    </w:p>
    <w:p w:rsidR="00B02B1D" w:rsidRDefault="00B02B1D" w:rsidP="00B02B1D">
      <w:pPr>
        <w:spacing w:line="360" w:lineRule="auto"/>
        <w:ind w:left="720" w:hanging="720"/>
        <w:jc w:val="both"/>
        <w:rPr>
          <w:rFonts w:ascii="Arial" w:hAnsi="Arial"/>
          <w:rtl/>
        </w:rPr>
      </w:pPr>
      <w:r>
        <w:rPr>
          <w:rFonts w:ascii="Arial" w:hAnsi="Arial"/>
          <w:rtl/>
        </w:rPr>
        <w:t>18.</w:t>
      </w:r>
      <w:r>
        <w:rPr>
          <w:rFonts w:ascii="Arial" w:hAnsi="Arial"/>
          <w:rtl/>
        </w:rPr>
        <w:tab/>
        <w:t xml:space="preserve">מתיר פרסום ההחלטה  בהסתרת פרטים מזהים. </w:t>
      </w:r>
    </w:p>
    <w:p w:rsidR="00B02B1D" w:rsidRDefault="00B02B1D" w:rsidP="00B02B1D">
      <w:pPr>
        <w:spacing w:line="360" w:lineRule="auto"/>
        <w:ind w:left="720" w:hanging="720"/>
        <w:jc w:val="both"/>
        <w:rPr>
          <w:rFonts w:ascii="Arial" w:hAnsi="Arial"/>
          <w:rtl/>
        </w:rPr>
      </w:pPr>
    </w:p>
    <w:p w:rsidR="00B02B1D" w:rsidRDefault="00B02B1D" w:rsidP="00B02B1D">
      <w:pPr>
        <w:spacing w:line="360" w:lineRule="auto"/>
        <w:ind w:left="720" w:hanging="720"/>
        <w:jc w:val="both"/>
        <w:rPr>
          <w:rFonts w:ascii="Arial" w:hAnsi="Arial"/>
          <w:rtl/>
        </w:rPr>
      </w:pPr>
      <w:r>
        <w:rPr>
          <w:rFonts w:ascii="Arial" w:hAnsi="Arial"/>
          <w:rtl/>
        </w:rPr>
        <w:t>19.</w:t>
      </w:r>
      <w:r>
        <w:rPr>
          <w:rFonts w:ascii="Arial" w:hAnsi="Arial"/>
          <w:rtl/>
        </w:rPr>
        <w:tab/>
        <w:t xml:space="preserve">תואיל המזכירות לשלוח לצדדים ולסגור את התיק. </w:t>
      </w:r>
    </w:p>
    <w:p w:rsidR="00B02B1D" w:rsidRDefault="00B02B1D" w:rsidP="00B02B1D">
      <w:pPr>
        <w:pStyle w:val="Ruller4"/>
        <w:tabs>
          <w:tab w:val="left" w:pos="-2764"/>
        </w:tabs>
        <w:ind w:left="651" w:hanging="567"/>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 xml:space="preserve">  </w:t>
      </w:r>
    </w:p>
    <w:p w:rsidR="00B02B1D" w:rsidRDefault="00B02B1D" w:rsidP="00B02B1D">
      <w:pPr>
        <w:pStyle w:val="Ruller4"/>
        <w:tabs>
          <w:tab w:val="left" w:pos="-2764"/>
        </w:tabs>
        <w:ind w:left="651" w:hanging="567"/>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lastRenderedPageBreak/>
        <w:t xml:space="preserve"> </w:t>
      </w:r>
    </w:p>
    <w:p w:rsidR="00B02B1D" w:rsidRDefault="00B02B1D" w:rsidP="00B02B1D">
      <w:pPr>
        <w:spacing w:line="360" w:lineRule="auto"/>
        <w:jc w:val="both"/>
        <w:rPr>
          <w:rFonts w:ascii="Arial" w:hAnsi="Arial"/>
          <w:noProof w:val="0"/>
          <w:rtl/>
        </w:rPr>
      </w:pPr>
      <w:r>
        <w:rPr>
          <w:rFonts w:ascii="Arial" w:hAnsi="Arial"/>
          <w:noProof w:val="0"/>
          <w:rtl/>
        </w:rPr>
        <w:t xml:space="preserve">ניתנה היום, </w:t>
      </w:r>
      <w:sdt>
        <w:sdtPr>
          <w:rPr>
            <w:rtl/>
          </w:rPr>
          <w:alias w:val="1455"/>
          <w:tag w:val="1455"/>
          <w:id w:val="1666048407"/>
          <w:text w:multiLine="1"/>
        </w:sdtPr>
        <w:sdtEndPr/>
        <w:sdtContent>
          <w:r>
            <w:rPr>
              <w:rFonts w:ascii="Arial" w:hAnsi="Arial"/>
              <w:noProof w:val="0"/>
              <w:rtl/>
            </w:rPr>
            <w:t>כ"ה תמוז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31 יולי 2024</w:t>
          </w:r>
        </w:sdtContent>
      </w:sdt>
      <w:r>
        <w:rPr>
          <w:rFonts w:ascii="Arial" w:hAnsi="Arial"/>
          <w:noProof w:val="0"/>
          <w:rtl/>
        </w:rPr>
        <w:t>, בהעדר הצדדים.</w:t>
      </w:r>
    </w:p>
    <w:p w:rsidR="00B02B1D" w:rsidRDefault="00990EB9" w:rsidP="00B02B1D">
      <w:pPr>
        <w:tabs>
          <w:tab w:val="left" w:pos="2553"/>
        </w:tabs>
        <w:ind w:left="5040"/>
        <w:rPr>
          <w:rtl/>
        </w:rPr>
      </w:pPr>
      <w:sdt>
        <w:sdtPr>
          <w:rPr>
            <w:rtl/>
          </w:rPr>
          <w:alias w:val="2045"/>
          <w:tag w:val="2045"/>
          <w:id w:val="740689340"/>
          <w:placeholder>
            <w:docPart w:val="199BB5BDCD26492FA6B784350D65F7A2"/>
          </w:placeholder>
          <w:showingPlcHdr/>
          <w:text w:multiLine="1"/>
        </w:sdtPr>
        <w:sdtEndPr/>
        <w:sdtContent>
          <w:r w:rsidR="00B02B1D">
            <w:rPr>
              <w:rtl/>
            </w:rPr>
            <w:t xml:space="preserve">     </w:t>
          </w:r>
        </w:sdtContent>
      </w:sdt>
    </w:p>
    <w:p w:rsidR="00B02B1D" w:rsidRDefault="00B02B1D" w:rsidP="00B02B1D">
      <w:pPr>
        <w:tabs>
          <w:tab w:val="left" w:pos="2553"/>
        </w:tabs>
        <w:rPr>
          <w:rtl/>
        </w:rPr>
      </w:pPr>
      <w:r>
        <w:rPr>
          <w:rtl/>
        </w:rPr>
        <w:tab/>
      </w:r>
      <w:r>
        <w:rPr>
          <w:rtl/>
        </w:rPr>
        <w:tab/>
      </w:r>
      <w:r>
        <w:rPr>
          <w:rtl/>
        </w:rPr>
        <w:tab/>
      </w:r>
      <w:r>
        <w:rPr>
          <w:rtl/>
        </w:rPr>
        <w:tab/>
        <w:t xml:space="preserve">        </w:t>
      </w:r>
      <w:sdt>
        <w:sdtPr>
          <w:rPr>
            <w:rtl/>
          </w:rPr>
          <w:alias w:val="MergeField"/>
          <w:tag w:val="1237"/>
          <w:id w:val="970711078"/>
        </w:sdtPr>
        <w:sdtEndPr/>
        <w:sdtContent>
          <w:r>
            <w:drawing>
              <wp:inline distT="0" distB="0" distL="0" distR="0">
                <wp:extent cx="1685925" cy="1009650"/>
                <wp:effectExtent l="0" t="0" r="952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85925" cy="1009650"/>
                        </a:xfrm>
                        <a:prstGeom prst="rect">
                          <a:avLst/>
                        </a:prstGeom>
                        <a:noFill/>
                        <a:ln>
                          <a:noFill/>
                        </a:ln>
                      </pic:spPr>
                    </pic:pic>
                  </a:graphicData>
                </a:graphic>
              </wp:inline>
            </w:drawing>
          </w:r>
        </w:sdtContent>
      </w:sdt>
    </w:p>
    <w:p w:rsidR="00B02B1D" w:rsidRDefault="00B02B1D" w:rsidP="00B02B1D">
      <w:pPr>
        <w:tabs>
          <w:tab w:val="left" w:pos="2553"/>
        </w:tabs>
        <w:rPr>
          <w:rFonts w:ascii="Arial" w:hAnsi="Arial"/>
          <w:noProof w:val="0"/>
        </w:rPr>
      </w:pPr>
    </w:p>
    <w:p w:rsidR="00B02B1D" w:rsidRPr="00B02B1D" w:rsidRDefault="00B02B1D"/>
    <w:sectPr w:rsidR="00B02B1D" w:rsidRPr="00B02B1D" w:rsidSect="00DD2491">
      <w:pgSz w:w="12240" w:h="15840"/>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TUR">
    <w:altName w:val="Arial"/>
    <w:charset w:val="00"/>
    <w:family w:val="swiss"/>
    <w:pitch w:val="variable"/>
    <w:sig w:usb0="00000000"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2B1D"/>
    <w:rsid w:val="00912B11"/>
    <w:rsid w:val="00990EB9"/>
    <w:rsid w:val="00B02B1D"/>
    <w:rsid w:val="00D52136"/>
    <w:rsid w:val="00DD249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100F6F-9317-4992-9AB7-88A6F6B6C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2B1D"/>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2136"/>
    <w:pPr>
      <w:spacing w:after="160" w:line="259" w:lineRule="auto"/>
      <w:ind w:left="720"/>
      <w:contextualSpacing/>
    </w:pPr>
    <w:rPr>
      <w:rFonts w:asciiTheme="minorHAnsi" w:eastAsiaTheme="minorHAnsi" w:hAnsiTheme="minorHAnsi" w:cstheme="minorBidi"/>
      <w:noProof w:val="0"/>
      <w:sz w:val="22"/>
      <w:szCs w:val="22"/>
    </w:rPr>
  </w:style>
  <w:style w:type="paragraph" w:styleId="a4">
    <w:name w:val="header"/>
    <w:basedOn w:val="a"/>
    <w:link w:val="a5"/>
    <w:semiHidden/>
    <w:unhideWhenUsed/>
    <w:rsid w:val="00B02B1D"/>
    <w:pPr>
      <w:tabs>
        <w:tab w:val="center" w:pos="4153"/>
        <w:tab w:val="right" w:pos="8306"/>
      </w:tabs>
    </w:pPr>
  </w:style>
  <w:style w:type="character" w:customStyle="1" w:styleId="a5">
    <w:name w:val="כותרת עליונה תו"/>
    <w:basedOn w:val="a0"/>
    <w:link w:val="a4"/>
    <w:semiHidden/>
    <w:rsid w:val="00B02B1D"/>
    <w:rPr>
      <w:rFonts w:ascii="Times New Roman" w:eastAsia="Times New Roman" w:hAnsi="Times New Roman" w:cs="David"/>
      <w:noProof/>
      <w:sz w:val="24"/>
      <w:szCs w:val="24"/>
    </w:rPr>
  </w:style>
  <w:style w:type="paragraph" w:styleId="NormalWeb">
    <w:name w:val="Normal (Web)"/>
    <w:basedOn w:val="a"/>
    <w:uiPriority w:val="99"/>
    <w:semiHidden/>
    <w:unhideWhenUsed/>
    <w:rsid w:val="00B02B1D"/>
    <w:pPr>
      <w:bidi w:val="0"/>
      <w:spacing w:before="100" w:beforeAutospacing="1" w:after="100" w:afterAutospacing="1"/>
    </w:pPr>
    <w:rPr>
      <w:rFonts w:eastAsiaTheme="minorEastAsia" w:cs="Times New Roman"/>
      <w:noProof w:val="0"/>
    </w:rPr>
  </w:style>
  <w:style w:type="paragraph" w:customStyle="1" w:styleId="Ruller4">
    <w:name w:val="Ruller4"/>
    <w:basedOn w:val="a"/>
    <w:rsid w:val="00B02B1D"/>
    <w:pPr>
      <w:tabs>
        <w:tab w:val="left" w:pos="800"/>
      </w:tabs>
      <w:overflowPunct w:val="0"/>
      <w:autoSpaceDE w:val="0"/>
      <w:autoSpaceDN w:val="0"/>
      <w:adjustRightInd w:val="0"/>
      <w:spacing w:line="360" w:lineRule="auto"/>
      <w:jc w:val="both"/>
    </w:pPr>
    <w:rPr>
      <w:rFonts w:ascii="Arial TUR" w:hAnsi="Arial TUR" w:cs="FrankRuehl"/>
      <w:noProof w:val="0"/>
      <w:spacing w:val="10"/>
      <w:kern w:val="2"/>
      <w:sz w:val="22"/>
      <w:szCs w:val="28"/>
      <w14:ligatures w14:val="standardContextual"/>
    </w:rPr>
  </w:style>
  <w:style w:type="table" w:styleId="a6">
    <w:name w:val="Table Grid"/>
    <w:basedOn w:val="a1"/>
    <w:rsid w:val="00B02B1D"/>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9731171">
      <w:bodyDiv w:val="1"/>
      <w:marLeft w:val="0"/>
      <w:marRight w:val="0"/>
      <w:marTop w:val="0"/>
      <w:marBottom w:val="0"/>
      <w:divBdr>
        <w:top w:val="none" w:sz="0" w:space="0" w:color="auto"/>
        <w:left w:val="none" w:sz="0" w:space="0" w:color="auto"/>
        <w:bottom w:val="none" w:sz="0" w:space="0" w:color="auto"/>
        <w:right w:val="none" w:sz="0" w:space="0" w:color="auto"/>
      </w:divBdr>
    </w:div>
    <w:div w:id="1640648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99BB5BDCD26492FA6B784350D65F7A2"/>
        <w:category>
          <w:name w:val="כללי"/>
          <w:gallery w:val="placeholder"/>
        </w:category>
        <w:types>
          <w:type w:val="bbPlcHdr"/>
        </w:types>
        <w:behaviors>
          <w:behavior w:val="content"/>
        </w:behaviors>
        <w:guid w:val="{567B3FAC-3C4C-4502-ACF3-4D8EDA0FDB39}"/>
      </w:docPartPr>
      <w:docPartBody>
        <w:p w:rsidR="00D039EC" w:rsidRDefault="007371C4" w:rsidP="007371C4">
          <w:pPr>
            <w:pStyle w:val="199BB5BDCD26492FA6B784350D65F7A2"/>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TUR">
    <w:altName w:val="Arial"/>
    <w:charset w:val="00"/>
    <w:family w:val="swiss"/>
    <w:pitch w:val="variable"/>
    <w:sig w:usb0="00000000"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71C4"/>
    <w:rsid w:val="002B4618"/>
    <w:rsid w:val="007371C4"/>
    <w:rsid w:val="00D039EC"/>
    <w:rsid w:val="00ED022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99BB5BDCD26492FA6B784350D65F7A2">
    <w:name w:val="199BB5BDCD26492FA6B784350D65F7A2"/>
    <w:rsid w:val="007371C4"/>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1125</Words>
  <Characters>5630</Characters>
  <Application>Microsoft Office Word</Application>
  <DocSecurity>0</DocSecurity>
  <Lines>46</Lines>
  <Paragraphs>13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6742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אסתר טטרואשילי</cp:lastModifiedBy>
  <cp:revision>2</cp:revision>
  <dcterms:created xsi:type="dcterms:W3CDTF">2024-10-31T07:39:00Z</dcterms:created>
  <dcterms:modified xsi:type="dcterms:W3CDTF">2024-10-31T07:39:00Z</dcterms:modified>
</cp:coreProperties>
</file>